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546" w:hanging="1541" w:hangingChars="700"/>
        <w:outlineLvl w:val="0"/>
        <w:rPr>
          <w:rFonts w:ascii="Arial" w:hAnsi="Arial" w:cs="Arial"/>
          <w:b/>
          <w:bCs/>
          <w:sz w:val="22"/>
          <w:szCs w:val="22"/>
        </w:rPr>
      </w:pPr>
      <w:r>
        <w:rPr>
          <w:rFonts w:ascii="Arial" w:hAnsi="Arial" w:cs="Arial"/>
          <w:b/>
          <w:bCs/>
          <w:sz w:val="22"/>
          <w:szCs w:val="22"/>
        </w:rPr>
        <w:t>3GPP TSG RAN2 Meeging #12</w:t>
      </w:r>
      <w:r>
        <w:rPr>
          <w:rFonts w:ascii="Arial" w:hAnsi="Arial" w:eastAsia="宋体" w:cs="Arial"/>
          <w:b/>
          <w:bCs/>
          <w:sz w:val="22"/>
          <w:szCs w:val="22"/>
        </w:rPr>
        <w:t>6</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w:t>
      </w:r>
      <w:r>
        <w:rPr>
          <w:rFonts w:ascii="Arial" w:hAnsi="Arial" w:cs="Arial"/>
          <w:b/>
          <w:bCs/>
          <w:sz w:val="22"/>
          <w:szCs w:val="22"/>
        </w:rPr>
        <w:t>4</w:t>
      </w:r>
      <w:r>
        <w:rPr>
          <w:rFonts w:ascii="Arial" w:hAnsi="Arial" w:eastAsia="宋体" w:cs="Arial"/>
          <w:b/>
          <w:bCs/>
          <w:sz w:val="22"/>
          <w:szCs w:val="22"/>
        </w:rPr>
        <w:t>0</w:t>
      </w:r>
      <w:r>
        <w:rPr>
          <w:rFonts w:hint="eastAsia" w:ascii="Arial" w:hAnsi="Arial" w:eastAsia="宋体" w:cs="Arial"/>
          <w:b/>
          <w:bCs/>
          <w:sz w:val="22"/>
          <w:szCs w:val="22"/>
          <w:lang w:val="en-US" w:eastAsia="zh-CN"/>
        </w:rPr>
        <w:t>xxxx</w:t>
      </w:r>
      <w:r>
        <w:rPr>
          <w:rFonts w:ascii="Arial" w:hAnsi="Arial" w:cs="Arial"/>
          <w:b/>
          <w:bCs/>
          <w:sz w:val="22"/>
          <w:szCs w:val="22"/>
        </w:rPr>
        <w:t xml:space="preserve">                                                                                                                                                </w:t>
      </w:r>
    </w:p>
    <w:p>
      <w:pPr>
        <w:spacing w:before="120" w:after="120"/>
        <w:ind w:left="1104" w:hanging="1104" w:hangingChars="500"/>
        <w:outlineLvl w:val="0"/>
        <w:rPr>
          <w:rFonts w:ascii="Arial" w:hAnsi="Arial" w:eastAsia="宋体" w:cs="Arial"/>
          <w:b/>
          <w:bCs/>
          <w:sz w:val="22"/>
          <w:szCs w:val="22"/>
        </w:rPr>
      </w:pPr>
      <w:r>
        <w:rPr>
          <w:rFonts w:ascii="Arial" w:hAnsi="Arial" w:eastAsia="宋体" w:cs="Arial"/>
          <w:b/>
          <w:bCs/>
          <w:sz w:val="22"/>
          <w:szCs w:val="22"/>
        </w:rPr>
        <w:t>Fukuoka</w:t>
      </w:r>
      <w:r>
        <w:rPr>
          <w:rFonts w:ascii="Arial" w:hAnsi="Arial" w:cs="Arial"/>
          <w:b/>
          <w:bCs/>
          <w:sz w:val="22"/>
          <w:szCs w:val="22"/>
          <w:lang w:eastAsia="ja-JP"/>
        </w:rPr>
        <w:t xml:space="preserve">, </w:t>
      </w:r>
      <w:r>
        <w:rPr>
          <w:rFonts w:ascii="Arial" w:hAnsi="Arial" w:eastAsia="宋体" w:cs="Arial"/>
          <w:b/>
          <w:bCs/>
          <w:sz w:val="22"/>
          <w:szCs w:val="22"/>
        </w:rPr>
        <w:t>Japan</w:t>
      </w:r>
      <w:r>
        <w:rPr>
          <w:rFonts w:ascii="Arial" w:hAnsi="Arial" w:cs="Arial"/>
          <w:b/>
          <w:bCs/>
          <w:sz w:val="22"/>
          <w:szCs w:val="22"/>
          <w:lang w:eastAsia="ja-JP"/>
        </w:rPr>
        <w:t xml:space="preserve">, </w:t>
      </w:r>
      <w:r>
        <w:rPr>
          <w:rFonts w:ascii="Arial" w:hAnsi="Arial" w:eastAsia="宋体" w:cs="Arial"/>
          <w:b/>
          <w:bCs/>
          <w:sz w:val="22"/>
          <w:szCs w:val="22"/>
        </w:rPr>
        <w:t>20</w:t>
      </w:r>
      <w:r>
        <w:rPr>
          <w:rFonts w:hint="eastAsia" w:ascii="Arial" w:hAnsi="Arial" w:eastAsia="宋体" w:cs="Arial"/>
          <w:b/>
          <w:bCs/>
          <w:sz w:val="22"/>
          <w:szCs w:val="22"/>
          <w:vertAlign w:val="superscript"/>
        </w:rPr>
        <w:t>th</w:t>
      </w:r>
      <w:r>
        <w:rPr>
          <w:rFonts w:ascii="Arial" w:hAnsi="Arial" w:cs="Arial"/>
          <w:b/>
          <w:bCs/>
          <w:sz w:val="22"/>
          <w:szCs w:val="22"/>
          <w:lang w:eastAsia="ja-JP"/>
        </w:rPr>
        <w:t xml:space="preserve"> – </w:t>
      </w:r>
      <w:r>
        <w:rPr>
          <w:rFonts w:ascii="Arial" w:hAnsi="Arial" w:eastAsia="宋体" w:cs="Arial"/>
          <w:b/>
          <w:bCs/>
          <w:sz w:val="22"/>
          <w:szCs w:val="22"/>
        </w:rPr>
        <w:t>24</w:t>
      </w:r>
      <w:r>
        <w:rPr>
          <w:rFonts w:hint="eastAsia" w:ascii="Arial" w:hAnsi="Arial" w:eastAsia="宋体" w:cs="Arial"/>
          <w:b/>
          <w:bCs/>
          <w:sz w:val="22"/>
          <w:szCs w:val="22"/>
          <w:vertAlign w:val="superscript"/>
        </w:rPr>
        <w:t>th</w:t>
      </w:r>
      <w:r>
        <w:rPr>
          <w:rFonts w:hint="eastAsia" w:ascii="Arial" w:hAnsi="Arial" w:eastAsia="宋体" w:cs="Arial"/>
          <w:b/>
          <w:bCs/>
          <w:sz w:val="22"/>
          <w:szCs w:val="22"/>
        </w:rPr>
        <w:t xml:space="preserve"> Apr</w:t>
      </w:r>
      <w:r>
        <w:rPr>
          <w:rFonts w:ascii="Arial" w:hAnsi="Arial" w:eastAsia="宋体" w:cs="Arial"/>
          <w:b/>
          <w:bCs/>
          <w:sz w:val="22"/>
          <w:szCs w:val="22"/>
        </w:rPr>
        <w:t xml:space="preserve"> </w:t>
      </w:r>
      <w:r>
        <w:rPr>
          <w:rFonts w:ascii="Arial" w:hAnsi="Arial" w:cs="Arial"/>
          <w:b/>
          <w:bCs/>
          <w:sz w:val="22"/>
          <w:szCs w:val="22"/>
          <w:lang w:eastAsia="ja-JP"/>
        </w:rPr>
        <w:t>, 202</w:t>
      </w:r>
      <w:r>
        <w:rPr>
          <w:rFonts w:hint="eastAsia" w:ascii="Arial" w:hAnsi="Arial" w:eastAsia="宋体" w:cs="Arial"/>
          <w:b/>
          <w:bCs/>
          <w:sz w:val="22"/>
          <w:szCs w:val="22"/>
        </w:rPr>
        <w:t>4</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8.1.4</w:t>
      </w:r>
    </w:p>
    <w:p>
      <w:pPr>
        <w:spacing w:before="120" w:after="120"/>
        <w:ind w:left="1985" w:hanging="1985"/>
        <w:rPr>
          <w:rFonts w:ascii="Arial" w:hAnsi="Arial" w:eastAsia="宋体"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Further </w:t>
      </w:r>
      <w:r>
        <w:rPr>
          <w:rFonts w:ascii="Arial" w:hAnsi="Arial" w:eastAsia="宋体" w:cs="Arial"/>
          <w:b/>
          <w:sz w:val="22"/>
          <w:szCs w:val="22"/>
        </w:rPr>
        <w:t>C</w:t>
      </w:r>
      <w:r>
        <w:rPr>
          <w:rFonts w:hint="eastAsia" w:ascii="Arial" w:hAnsi="Arial" w:eastAsia="宋体" w:cs="Arial"/>
          <w:b/>
          <w:sz w:val="22"/>
          <w:szCs w:val="22"/>
        </w:rPr>
        <w:t>on</w:t>
      </w:r>
      <w:r>
        <w:rPr>
          <w:rFonts w:ascii="Arial" w:hAnsi="Arial" w:eastAsia="宋体" w:cs="Arial"/>
          <w:b/>
          <w:sz w:val="22"/>
          <w:szCs w:val="22"/>
        </w:rPr>
        <w:t>siderations</w:t>
      </w:r>
      <w:r>
        <w:rPr>
          <w:rFonts w:hint="eastAsia" w:ascii="Arial" w:hAnsi="Arial" w:eastAsia="宋体" w:cs="Arial"/>
          <w:b/>
          <w:sz w:val="22"/>
          <w:szCs w:val="22"/>
        </w:rPr>
        <w:t xml:space="preserve"> on UE side Data Collection</w:t>
      </w:r>
    </w:p>
    <w:p>
      <w:pPr>
        <w:spacing w:before="120" w:after="120"/>
        <w:ind w:left="1985" w:hanging="1985"/>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hint="default" w:eastAsiaTheme="minorEastAsia"/>
          <w:sz w:val="21"/>
          <w:szCs w:val="21"/>
          <w:lang w:val="en-US" w:eastAsia="zh-CN"/>
        </w:rPr>
      </w:pPr>
      <w:r>
        <w:rPr>
          <w:rFonts w:eastAsiaTheme="minorEastAsia"/>
          <w:sz w:val="21"/>
          <w:szCs w:val="21"/>
        </w:rPr>
        <w:t>.</w:t>
      </w:r>
      <w:r>
        <w:rPr>
          <w:rFonts w:hint="eastAsia" w:eastAsiaTheme="minorEastAsia"/>
          <w:sz w:val="21"/>
          <w:szCs w:val="21"/>
          <w:lang w:val="en-US" w:eastAsia="zh-CN"/>
        </w:rPr>
        <w:t>In the TR 38.843, the report of UE side data collection for model training has been updated with a couple of FFSs within it. This contribution is to share our views on those FFSs and provide our suggestion.</w:t>
      </w:r>
    </w:p>
    <w:p>
      <w:pPr>
        <w:pStyle w:val="2"/>
        <w:spacing w:before="72" w:beforeLines="30" w:after="72" w:afterLines="30" w:line="288" w:lineRule="auto"/>
      </w:pPr>
      <w:r>
        <w:t>Discussion</w:t>
      </w:r>
      <w:r>
        <w:rPr>
          <w:rFonts w:eastAsiaTheme="minorEastAsia"/>
        </w:rPr>
        <w:t xml:space="preserve"> </w:t>
      </w:r>
    </w:p>
    <w:p>
      <w:pPr>
        <w:pStyle w:val="3"/>
        <w:rPr>
          <w:rFonts w:hint="default" w:eastAsiaTheme="minorEastAsia"/>
          <w:lang w:val="en-US" w:eastAsia="zh-CN"/>
        </w:rPr>
      </w:pPr>
      <w:r>
        <w:rPr>
          <w:rFonts w:hint="eastAsia" w:eastAsiaTheme="minorEastAsia"/>
          <w:lang w:val="en-US" w:eastAsia="zh-CN"/>
        </w:rPr>
        <w:t>Visibility of the data content</w:t>
      </w:r>
    </w:p>
    <w:p>
      <w:pPr>
        <w:rPr>
          <w:rFonts w:hint="eastAsia" w:eastAsiaTheme="minorEastAsia"/>
          <w:lang w:val="en-US" w:eastAsia="zh-CN"/>
        </w:rPr>
      </w:pPr>
      <w:r>
        <w:rPr>
          <w:rFonts w:hint="eastAsia" w:eastAsiaTheme="minorEastAsia"/>
          <w:lang w:val="en-US" w:eastAsia="zh-CN"/>
        </w:rPr>
        <w:t>In the summary table, there are some FFSs left for both option 2 and option 3 as shown in below:</w:t>
      </w:r>
    </w:p>
    <w:p>
      <w:pPr>
        <w:rPr>
          <w:rFonts w:ascii="Arial" w:hAnsi="Arial" w:eastAsia="MS Mincho" w:cs="Arial"/>
          <w:sz w:val="18"/>
          <w:szCs w:val="18"/>
          <w:highlight w:val="green"/>
        </w:rPr>
      </w:pPr>
      <w:r>
        <w:rPr>
          <w:rFonts w:ascii="Arial" w:hAnsi="Arial" w:eastAsia="MS Mincho" w:cs="Arial"/>
          <w:sz w:val="18"/>
          <w:szCs w:val="18"/>
          <w:highlight w:val="green"/>
        </w:rPr>
        <w:t>FFS: meaning of ‘partial/partially’ and how to achieve different levels of visibility.</w:t>
      </w:r>
    </w:p>
    <w:p>
      <w:pPr>
        <w:bidi w:val="0"/>
        <w:rPr>
          <w:rFonts w:hint="default"/>
          <w:lang w:val="en-US" w:eastAsia="zh-CN"/>
        </w:rPr>
      </w:pPr>
      <w:r>
        <w:rPr>
          <w:rFonts w:hint="eastAsia"/>
          <w:lang w:val="en-US" w:eastAsia="zh-CN"/>
        </w:rPr>
        <w:t>The visibility of the data content is a key point for MNO to guarantee the data privacy which is described in the Annex for Privacy concerns in TS 38.843. If the data is transferred between UE and UE server and MNO need to be in charge of guaranteeing the data privacy, the data content shall be fully visible to the MNO.</w:t>
      </w:r>
    </w:p>
    <w:p>
      <w:pPr>
        <w:pStyle w:val="33"/>
        <w:bidi w:val="0"/>
        <w:rPr>
          <w:rFonts w:hint="eastAsia"/>
          <w:lang w:val="en-US" w:eastAsia="zh-CN"/>
        </w:rPr>
      </w:pPr>
      <w:r>
        <w:rPr>
          <w:rFonts w:hint="eastAsia"/>
          <w:lang w:val="en-US" w:eastAsia="zh-CN"/>
        </w:rPr>
        <w:t>For guaranteeing the data privacy, the data content shall be visible to the MNO in order to facilitate the MNO to monitor the content of the data transferred between the OEM and UE server.</w:t>
      </w:r>
    </w:p>
    <w:p>
      <w:pPr>
        <w:numPr>
          <w:numId w:val="0"/>
        </w:numPr>
        <w:bidi w:val="0"/>
        <w:spacing w:beforeLines="50" w:afterLines="50"/>
        <w:jc w:val="both"/>
        <w:rPr>
          <w:rFonts w:hint="default"/>
          <w:lang w:val="en-US" w:eastAsia="zh-CN"/>
        </w:rPr>
      </w:pPr>
      <w:r>
        <w:rPr>
          <w:rFonts w:hint="eastAsia"/>
          <w:lang w:val="en-US" w:eastAsia="zh-CN"/>
        </w:rPr>
        <w:t>In this sense, it is non-sense to discuss the partial and partially visible, from MNO perspective, there only two kind of visibility, one is full visibility, the other one is invisibility, there is no the third choice partial visibility is not helpful for MNO to guarantee the data privacy. Besides, both option 2 and option 3 the MNO shall be getting involved into the data transfer and the visibility of data content is needed regardless of the visibility is achieved by standardization or SLA.</w:t>
      </w:r>
    </w:p>
    <w:p>
      <w:pPr>
        <w:pStyle w:val="30"/>
        <w:bidi w:val="0"/>
        <w:rPr>
          <w:rFonts w:hint="default"/>
          <w:i w:val="0"/>
          <w:iCs w:val="0"/>
          <w:lang w:val="en-US" w:eastAsia="zh-CN"/>
        </w:rPr>
      </w:pPr>
      <w:r>
        <w:rPr>
          <w:rFonts w:hint="eastAsia"/>
          <w:i w:val="0"/>
          <w:iCs w:val="0"/>
          <w:lang w:val="en-US" w:eastAsia="zh-CN"/>
        </w:rPr>
        <w:t>Remove the all FFS related to partial/partially visibility from option 2 and option 3.</w:t>
      </w:r>
    </w:p>
    <w:p>
      <w:pPr>
        <w:pStyle w:val="3"/>
        <w:rPr>
          <w:rFonts w:hint="default" w:eastAsiaTheme="minorEastAsia"/>
          <w:lang w:val="en-US" w:eastAsia="zh-CN"/>
        </w:rPr>
      </w:pPr>
      <w:r>
        <w:rPr>
          <w:rFonts w:hint="eastAsia"/>
          <w:lang w:val="en-US" w:eastAsia="zh-CN"/>
        </w:rPr>
        <w:t>Option 1a</w:t>
      </w:r>
    </w:p>
    <w:p>
      <w:pPr>
        <w:rPr>
          <w:rFonts w:hint="default"/>
          <w:lang w:val="en-US" w:eastAsia="zh-CN"/>
        </w:rPr>
      </w:pPr>
    </w:p>
    <w:p>
      <w:pPr>
        <w:pStyle w:val="78"/>
        <w:pBdr>
          <w:top w:val="single" w:color="auto" w:sz="4" w:space="0"/>
          <w:left w:val="single" w:color="auto" w:sz="4" w:space="0"/>
          <w:bottom w:val="single" w:color="auto" w:sz="4" w:space="0"/>
          <w:right w:val="single" w:color="auto" w:sz="4" w:space="0"/>
        </w:pBdr>
      </w:pPr>
      <w:r>
        <w:t>1a.</w:t>
      </w:r>
      <w:r>
        <w:tab/>
      </w:r>
      <w:r>
        <w:t>UE collects and directly transfers training data to the data collection entity outside the MNO (e.g. Over-The-Top (OTT) server) for UE-side model training. No 3GPP specification impact</w:t>
      </w:r>
      <w:commentRangeStart w:id="0"/>
      <w:commentRangeStart w:id="1"/>
      <w:r>
        <w:rPr>
          <w:rStyle w:val="28"/>
        </w:rPr>
        <w:commentReference w:id="0"/>
      </w:r>
      <w:commentRangeEnd w:id="0"/>
      <w:commentRangeEnd w:id="1"/>
      <w:r>
        <w:rPr>
          <w:rStyle w:val="28"/>
        </w:rPr>
        <w:commentReference w:id="1"/>
      </w:r>
      <w:r>
        <w:t xml:space="preserve"> is expected.</w:t>
      </w:r>
    </w:p>
    <w:p>
      <w:pPr>
        <w:rPr>
          <w:rFonts w:hint="eastAsia"/>
          <w:lang w:val="en-US" w:eastAsia="zh-CN"/>
        </w:rPr>
      </w:pPr>
    </w:p>
    <w:p>
      <w:pPr>
        <w:rPr>
          <w:rFonts w:hint="eastAsia"/>
          <w:lang w:val="en-US" w:eastAsia="zh-CN"/>
        </w:rPr>
      </w:pPr>
      <w:r>
        <w:rPr>
          <w:rFonts w:hint="eastAsia"/>
          <w:lang w:val="en-US" w:eastAsia="zh-CN"/>
        </w:rPr>
        <w:t>In TR 38843, the option 1a does not cause any specification impact, and the communication between the UE and OTT server can be either via 3GPP network or via Non-3GPP network. In case of 3GPP network is utilized, the common UP data transmission procedure would be applied. In this sense, the Option 1a is the simplest and practical solution among all the options identified by RAN2, besides, there is no any privacy data concern from MNO, in this sense, we propose.</w:t>
      </w:r>
    </w:p>
    <w:p>
      <w:pPr>
        <w:pStyle w:val="31"/>
        <w:bidi w:val="0"/>
        <w:rPr>
          <w:rFonts w:hint="default"/>
          <w:lang w:val="en-US" w:eastAsia="zh-CN"/>
        </w:rPr>
      </w:pPr>
      <w:bookmarkStart w:id="0" w:name="_Toc26378"/>
      <w:r>
        <w:rPr>
          <w:rFonts w:hint="eastAsia"/>
          <w:i w:val="0"/>
          <w:iCs w:val="0"/>
          <w:lang w:val="en-US" w:eastAsia="zh-CN"/>
        </w:rPr>
        <w:t>For UE side data collection for model training, the option 1a, that UE collects data and directly transfers the collected data to the OTT server, is a recommended solution from RAN2 perspective.</w:t>
      </w:r>
      <w:bookmarkEnd w:id="0"/>
    </w:p>
    <w:p>
      <w:pPr>
        <w:pStyle w:val="3"/>
        <w:bidi w:val="0"/>
        <w:rPr>
          <w:rFonts w:hint="eastAsia"/>
          <w:lang w:val="en-GB"/>
        </w:rPr>
      </w:pPr>
      <w:r>
        <w:rPr>
          <w:rFonts w:hint="eastAsia"/>
          <w:lang w:val="en-US" w:eastAsia="zh-CN"/>
        </w:rPr>
        <w:t>Option 1b</w:t>
      </w:r>
    </w:p>
    <w:p>
      <w:pPr>
        <w:rPr>
          <w:rFonts w:hint="eastAsia"/>
          <w:lang w:val="en-GB"/>
        </w:rPr>
      </w:pPr>
    </w:p>
    <w:p>
      <w:pPr>
        <w:pBdr>
          <w:top w:val="single" w:color="auto" w:sz="4" w:space="0"/>
          <w:left w:val="single" w:color="auto" w:sz="4" w:space="0"/>
          <w:bottom w:val="single" w:color="auto" w:sz="4" w:space="0"/>
          <w:right w:val="single" w:color="auto" w:sz="4" w:space="0"/>
        </w:pBdr>
        <w:rPr>
          <w:rFonts w:hint="eastAsia" w:eastAsia="宋体"/>
          <w:lang w:val="en-US" w:eastAsia="zh-CN"/>
        </w:rPr>
      </w:pPr>
      <w:r>
        <w:t>1b.</w:t>
      </w:r>
      <w:r>
        <w:tab/>
      </w:r>
      <w:r>
        <w:t xml:space="preserve">UE collects training data and transfers it to the server for data collection for UE-side model training (inside the MNO) and then optionally from the server for data collection for UE-side model training to the OTT server (outside the MNO). </w:t>
      </w:r>
      <w:r>
        <w:rPr>
          <w:highlight w:val="green"/>
        </w:rPr>
        <w:t>FFS whether according to RAN2 there might be 3GPP specification impact.</w:t>
      </w:r>
    </w:p>
    <w:p>
      <w:pPr>
        <w:rPr>
          <w:rFonts w:hint="eastAsia" w:eastAsia="宋体"/>
          <w:lang w:val="en-US" w:eastAsia="zh-CN"/>
        </w:rPr>
      </w:pPr>
    </w:p>
    <w:p>
      <w:pPr>
        <w:rPr>
          <w:rFonts w:hint="eastAsia" w:eastAsia="宋体"/>
          <w:lang w:val="en-US" w:eastAsia="zh-CN"/>
        </w:rPr>
      </w:pPr>
      <w:r>
        <w:rPr>
          <w:rFonts w:hint="eastAsia" w:eastAsia="宋体"/>
          <w:lang w:val="en-US" w:eastAsia="zh-CN"/>
        </w:rPr>
        <w:t>Regarding option 1b, there are two FFS left in the summary table</w:t>
      </w:r>
    </w:p>
    <w:p>
      <w:pPr>
        <w:numPr>
          <w:ilvl w:val="0"/>
          <w:numId w:val="12"/>
        </w:numPr>
        <w:ind w:left="420" w:leftChars="0" w:hanging="420" w:firstLineChars="0"/>
        <w:rPr>
          <w:rFonts w:hint="eastAsia" w:eastAsia="宋体"/>
          <w:lang w:val="en-US" w:eastAsia="zh-CN"/>
        </w:rPr>
      </w:pPr>
      <w:r>
        <w:rPr>
          <w:rFonts w:ascii="Arial" w:hAnsi="Arial" w:eastAsia="MS Mincho" w:cs="Arial"/>
          <w:sz w:val="18"/>
          <w:szCs w:val="18"/>
          <w:highlight w:val="green"/>
          <w:lang w:eastAsia="ja-JP"/>
        </w:rPr>
        <w:t>FFS: level of controllability</w:t>
      </w:r>
    </w:p>
    <w:p>
      <w:pPr>
        <w:numPr>
          <w:ilvl w:val="0"/>
          <w:numId w:val="12"/>
        </w:numPr>
        <w:ind w:left="420" w:leftChars="0" w:hanging="420" w:firstLineChars="0"/>
        <w:rPr>
          <w:rFonts w:hint="eastAsia" w:eastAsia="宋体"/>
          <w:lang w:val="en-US" w:eastAsia="zh-CN"/>
        </w:rPr>
      </w:pPr>
      <w:r>
        <w:rPr>
          <w:rFonts w:ascii="Arial" w:hAnsi="Arial" w:eastAsia="MS Mincho" w:cs="Arial"/>
          <w:sz w:val="18"/>
          <w:szCs w:val="18"/>
          <w:highlight w:val="green"/>
        </w:rPr>
        <w:t xml:space="preserve">FFS </w:t>
      </w:r>
      <w:r>
        <w:rPr>
          <w:rFonts w:hint="eastAsia" w:ascii="Arial" w:hAnsi="Arial" w:eastAsia="宋体" w:cs="Arial"/>
          <w:sz w:val="18"/>
          <w:szCs w:val="18"/>
          <w:highlight w:val="green"/>
          <w:lang w:val="en-US" w:eastAsia="zh-CN"/>
        </w:rPr>
        <w:t>on possible visibility</w:t>
      </w:r>
    </w:p>
    <w:tbl>
      <w:tblPr>
        <w:tblStyle w:val="24"/>
        <w:tblW w:w="33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1"/>
        <w:gridCol w:w="3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l2br w:val="single" w:color="auto" w:sz="4" w:space="0"/>
            </w:tcBorders>
            <w:shd w:val="clear" w:color="auto" w:fill="D8D8D8" w:themeFill="background1" w:themeFillShade="D9"/>
          </w:tcPr>
          <w:p>
            <w:pPr>
              <w:spacing w:after="0"/>
              <w:rPr>
                <w:rFonts w:ascii="Arial" w:hAnsi="Arial" w:eastAsia="MS Mincho" w:cs="Arial"/>
                <w:b/>
                <w:bCs/>
                <w:sz w:val="15"/>
                <w:szCs w:val="15"/>
                <w:lang w:eastAsia="zh-CN"/>
              </w:rPr>
            </w:pPr>
            <w:r>
              <w:rPr>
                <w:rFonts w:ascii="Arial" w:hAnsi="Arial" w:eastAsia="MS Mincho" w:cs="Arial"/>
                <w:b/>
                <w:bCs/>
                <w:sz w:val="15"/>
                <w:szCs w:val="15"/>
                <w:lang w:eastAsia="zh-CN"/>
              </w:rPr>
              <w:t xml:space="preserve">              Option</w:t>
            </w:r>
          </w:p>
          <w:p>
            <w:pPr>
              <w:spacing w:after="0"/>
              <w:rPr>
                <w:rFonts w:ascii="Arial" w:hAnsi="Arial" w:eastAsia="MS Mincho" w:cs="Arial"/>
                <w:b/>
                <w:bCs/>
                <w:sz w:val="15"/>
                <w:szCs w:val="15"/>
                <w:lang w:eastAsia="zh-CN"/>
              </w:rPr>
            </w:pPr>
          </w:p>
          <w:p>
            <w:pPr>
              <w:spacing w:after="0"/>
              <w:rPr>
                <w:rFonts w:ascii="Arial" w:hAnsi="Arial" w:eastAsia="MS Mincho" w:cs="Arial"/>
                <w:b/>
                <w:bCs/>
                <w:sz w:val="15"/>
                <w:szCs w:val="15"/>
                <w:lang w:eastAsia="zh-CN"/>
              </w:rPr>
            </w:pPr>
          </w:p>
          <w:p>
            <w:pPr>
              <w:spacing w:after="0"/>
              <w:rPr>
                <w:rFonts w:ascii="Arial" w:hAnsi="Arial" w:eastAsia="MS Mincho" w:cs="Arial"/>
                <w:b/>
                <w:bCs/>
                <w:sz w:val="15"/>
                <w:szCs w:val="15"/>
                <w:lang w:eastAsia="zh-CN"/>
              </w:rPr>
            </w:pPr>
          </w:p>
          <w:p>
            <w:pPr>
              <w:spacing w:after="0"/>
              <w:rPr>
                <w:rFonts w:ascii="Arial" w:hAnsi="Arial" w:eastAsia="MS Mincho" w:cs="Arial"/>
                <w:sz w:val="15"/>
                <w:szCs w:val="15"/>
                <w:lang w:eastAsia="en-GB"/>
              </w:rPr>
            </w:pPr>
            <w:r>
              <w:rPr>
                <w:rFonts w:ascii="Arial" w:hAnsi="Arial" w:eastAsia="MS Mincho" w:cs="Arial"/>
                <w:b/>
                <w:bCs/>
                <w:sz w:val="15"/>
                <w:szCs w:val="15"/>
                <w:lang w:eastAsia="zh-CN"/>
              </w:rPr>
              <w:t>Aspect</w:t>
            </w:r>
          </w:p>
        </w:tc>
        <w:tc>
          <w:tcPr>
            <w:tcW w:w="2500" w:type="pct"/>
            <w:shd w:val="clear" w:color="auto" w:fill="D8D8D8" w:themeFill="background1" w:themeFillShade="D9"/>
          </w:tcPr>
          <w:p>
            <w:pPr>
              <w:spacing w:after="0"/>
              <w:jc w:val="center"/>
              <w:rPr>
                <w:rFonts w:ascii="Arial" w:hAnsi="Arial" w:eastAsia="MS Mincho" w:cs="Arial"/>
                <w:sz w:val="15"/>
                <w:szCs w:val="15"/>
                <w:lang w:eastAsia="en-GB"/>
              </w:rPr>
            </w:pPr>
            <w:r>
              <w:rPr>
                <w:rFonts w:ascii="Arial" w:hAnsi="Arial" w:eastAsia="MS Mincho" w:cs="Arial"/>
                <w:b/>
                <w:bCs/>
                <w:sz w:val="15"/>
                <w:szCs w:val="15"/>
                <w:lang w:eastAsia="en-GB"/>
              </w:rPr>
              <w:t>Option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First termination entity</w:t>
            </w:r>
          </w:p>
        </w:tc>
        <w:tc>
          <w:tcPr>
            <w:tcW w:w="2500" w:type="pct"/>
          </w:tcPr>
          <w:p>
            <w:pPr>
              <w:spacing w:after="0"/>
              <w:rPr>
                <w:rFonts w:ascii="Arial" w:hAnsi="Arial" w:eastAsia="MS Mincho" w:cs="Arial"/>
                <w:sz w:val="15"/>
                <w:szCs w:val="15"/>
                <w:lang w:eastAsia="en-GB"/>
              </w:rPr>
            </w:pPr>
            <w:r>
              <w:rPr>
                <w:rFonts w:ascii="Arial" w:hAnsi="Arial" w:eastAsia="MS Mincho" w:cs="Arial"/>
                <w:sz w:val="15"/>
                <w:szCs w:val="15"/>
                <w:lang w:eastAsia="ja-JP"/>
              </w:rPr>
              <w:t>Server for data collection for UE-side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AI/ML-specific Data Transfer Path</w:t>
            </w:r>
          </w:p>
        </w:tc>
        <w:tc>
          <w:tcPr>
            <w:tcW w:w="2500" w:type="pct"/>
          </w:tcPr>
          <w:p>
            <w:pPr>
              <w:rPr>
                <w:rFonts w:ascii="Arial" w:hAnsi="Arial" w:eastAsia="MS Mincho" w:cs="Arial"/>
                <w:sz w:val="15"/>
                <w:szCs w:val="15"/>
                <w:lang w:eastAsia="ja-JP"/>
              </w:rPr>
            </w:pPr>
            <w:r>
              <w:rPr>
                <w:rFonts w:ascii="Arial" w:hAnsi="Arial" w:eastAsia="MS Mincho" w:cs="Arial"/>
                <w:sz w:val="15"/>
                <w:szCs w:val="15"/>
                <w:lang w:eastAsia="ja-JP"/>
              </w:rPr>
              <w:t>UE -&gt;Server for data collection for UE-side model training/OTT server</w:t>
            </w:r>
          </w:p>
          <w:p>
            <w:pPr>
              <w:spacing w:after="0"/>
              <w:rPr>
                <w:rFonts w:ascii="Arial" w:hAnsi="Arial" w:eastAsia="MS Mincho" w:cs="Arial"/>
                <w:sz w:val="15"/>
                <w:szCs w:val="15"/>
                <w:lang w:eastAsia="en-GB"/>
              </w:rPr>
            </w:pPr>
            <w:r>
              <w:rPr>
                <w:rFonts w:ascii="Arial" w:hAnsi="Arial" w:eastAsia="MS Mincho" w:cs="Arial"/>
                <w:sz w:val="15"/>
                <w:szCs w:val="15"/>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UP/CP tunnel</w:t>
            </w:r>
          </w:p>
        </w:tc>
        <w:tc>
          <w:tcPr>
            <w:tcW w:w="2500" w:type="pct"/>
          </w:tcPr>
          <w:p>
            <w:pPr>
              <w:spacing w:after="0"/>
              <w:rPr>
                <w:rFonts w:ascii="Arial" w:hAnsi="Arial" w:eastAsia="MS Mincho" w:cs="Arial"/>
                <w:sz w:val="15"/>
                <w:szCs w:val="15"/>
                <w:lang w:eastAsia="en-GB"/>
              </w:rPr>
            </w:pPr>
            <w:r>
              <w:rPr>
                <w:rFonts w:ascii="Arial" w:hAnsi="Arial" w:eastAsia="MS Mincho" w:cs="Arial"/>
                <w:sz w:val="15"/>
                <w:szCs w:val="15"/>
                <w:lang w:eastAsia="ja-JP"/>
              </w:rPr>
              <w:t xml:space="preserve">UP tunnel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Protocol layer for data transfer</w:t>
            </w:r>
          </w:p>
        </w:tc>
        <w:tc>
          <w:tcPr>
            <w:tcW w:w="2500" w:type="pct"/>
          </w:tcPr>
          <w:p>
            <w:pPr>
              <w:spacing w:after="0"/>
              <w:rPr>
                <w:rFonts w:ascii="Arial" w:hAnsi="Arial" w:eastAsia="MS Mincho" w:cs="Arial"/>
                <w:sz w:val="15"/>
                <w:szCs w:val="15"/>
                <w:lang w:eastAsia="en-GB"/>
              </w:rPr>
            </w:pPr>
            <w:r>
              <w:rPr>
                <w:rFonts w:ascii="Arial" w:hAnsi="Arial" w:eastAsia="MS Mincho" w:cs="Arial"/>
                <w:sz w:val="15"/>
                <w:szCs w:val="15"/>
                <w:lang w:eastAsia="ja-JP"/>
              </w:rPr>
              <w:t>Application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Controllability of MNO on data transfer</w:t>
            </w:r>
          </w:p>
        </w:tc>
        <w:tc>
          <w:tcPr>
            <w:tcW w:w="2500" w:type="pct"/>
          </w:tcPr>
          <w:p>
            <w:pPr>
              <w:rPr>
                <w:rFonts w:ascii="Arial" w:hAnsi="Arial" w:eastAsia="MS Mincho" w:cs="Arial"/>
                <w:sz w:val="15"/>
                <w:szCs w:val="15"/>
                <w:lang w:eastAsia="ja-JP"/>
              </w:rPr>
            </w:pPr>
            <w:r>
              <w:rPr>
                <w:rFonts w:ascii="Arial" w:hAnsi="Arial" w:eastAsia="MS Mincho" w:cs="Arial"/>
                <w:sz w:val="15"/>
                <w:szCs w:val="15"/>
                <w:lang w:eastAsia="ja-JP"/>
              </w:rPr>
              <w:t>Controllability can be achieved.</w:t>
            </w:r>
          </w:p>
          <w:p>
            <w:pPr>
              <w:spacing w:after="0"/>
              <w:rPr>
                <w:rFonts w:ascii="Arial" w:hAnsi="Arial" w:eastAsia="MS Mincho" w:cs="Arial"/>
                <w:sz w:val="15"/>
                <w:szCs w:val="15"/>
                <w:lang w:eastAsia="en-GB"/>
              </w:rPr>
            </w:pPr>
            <w:r>
              <w:rPr>
                <w:rFonts w:ascii="Arial" w:hAnsi="Arial" w:eastAsia="MS Mincho" w:cs="Arial"/>
                <w:sz w:val="15"/>
                <w:szCs w:val="15"/>
                <w:highlight w:val="green"/>
                <w:lang w:eastAsia="ja-JP"/>
              </w:rPr>
              <w:t>FFS: level of controllability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Solution for network controllability</w:t>
            </w:r>
            <w:commentRangeStart w:id="2"/>
            <w:commentRangeStart w:id="3"/>
            <w:r>
              <w:rPr>
                <w:rStyle w:val="28"/>
                <w:rFonts w:eastAsia="宋体"/>
                <w:sz w:val="13"/>
                <w:szCs w:val="13"/>
              </w:rPr>
              <w:commentReference w:id="2"/>
            </w:r>
            <w:commentRangeEnd w:id="2"/>
            <w:commentRangeEnd w:id="3"/>
            <w:r>
              <w:rPr>
                <w:rStyle w:val="28"/>
                <w:rFonts w:eastAsia="宋体"/>
                <w:sz w:val="13"/>
                <w:szCs w:val="13"/>
              </w:rPr>
              <w:commentReference w:id="3"/>
            </w:r>
          </w:p>
        </w:tc>
        <w:tc>
          <w:tcPr>
            <w:tcW w:w="2500" w:type="pct"/>
          </w:tcPr>
          <w:p>
            <w:pPr>
              <w:spacing w:after="0"/>
              <w:rPr>
                <w:rFonts w:ascii="Arial" w:hAnsi="Arial" w:eastAsia="MS Mincho" w:cs="Arial"/>
                <w:sz w:val="15"/>
                <w:szCs w:val="15"/>
                <w:lang w:eastAsia="en-GB"/>
              </w:rPr>
            </w:pPr>
            <w:r>
              <w:rPr>
                <w:rFonts w:ascii="Arial" w:hAnsi="Arial" w:eastAsia="MS Mincho" w:cs="Arial"/>
                <w:sz w:val="15"/>
                <w:szCs w:val="15"/>
                <w:lang w:eastAsia="ja-JP"/>
              </w:rPr>
              <w:t xml:space="preserve">Example: per PDU sessions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 xml:space="preserve">Possible Options for Visibility of data content in MNO and Data format (Note 2, Note 3) </w:t>
            </w:r>
          </w:p>
        </w:tc>
        <w:tc>
          <w:tcPr>
            <w:tcW w:w="2500" w:type="pct"/>
          </w:tcPr>
          <w:p>
            <w:pPr>
              <w:spacing w:after="0"/>
              <w:rPr>
                <w:rFonts w:ascii="Arial" w:hAnsi="Arial" w:eastAsia="MS Mincho" w:cs="Arial"/>
                <w:sz w:val="15"/>
                <w:szCs w:val="15"/>
                <w:lang w:eastAsia="en-GB"/>
              </w:rPr>
            </w:pPr>
            <w:r>
              <w:rPr>
                <w:rFonts w:ascii="Arial" w:hAnsi="Arial" w:eastAsia="MS Mincho" w:cs="Arial"/>
                <w:sz w:val="15"/>
                <w:szCs w:val="15"/>
                <w:highlight w:val="green"/>
              </w:rPr>
              <w:t xml:space="preserve">FFS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Involved WGs</w:t>
            </w:r>
          </w:p>
        </w:tc>
        <w:tc>
          <w:tcPr>
            <w:tcW w:w="2500" w:type="pct"/>
          </w:tcPr>
          <w:p>
            <w:pPr>
              <w:spacing w:after="0"/>
              <w:rPr>
                <w:rFonts w:ascii="Arial" w:hAnsi="Arial" w:eastAsia="MS Mincho" w:cs="Arial"/>
                <w:sz w:val="15"/>
                <w:szCs w:val="15"/>
                <w:lang w:eastAsia="en-GB"/>
              </w:rPr>
            </w:pPr>
            <w:r>
              <w:rPr>
                <w:rFonts w:ascii="Arial" w:hAnsi="Arial" w:eastAsia="MS Mincho" w:cs="Arial"/>
                <w:sz w:val="15"/>
                <w:szCs w:val="15"/>
                <w:lang w:eastAsia="ja-JP"/>
              </w:rPr>
              <w:t>SA2, SA3, RAN2, RAN3, CT1</w:t>
            </w:r>
          </w:p>
        </w:tc>
      </w:tr>
    </w:tbl>
    <w:p>
      <w:pPr>
        <w:rPr>
          <w:rFonts w:hint="default" w:eastAsia="宋体"/>
          <w:lang w:val="en-US" w:eastAsia="zh-CN"/>
        </w:rPr>
      </w:pPr>
      <w:r>
        <w:rPr>
          <w:rFonts w:hint="eastAsia" w:eastAsia="宋体"/>
          <w:lang w:val="en-US" w:eastAsia="zh-CN"/>
        </w:rPr>
        <w:t>Regarding the level of the controllability, in our understanding, the controllability only have two values, one is full controllability which is like option 2 and option 3, and the other one is non-controllability which is like option 1a, it is hard to understand about level of the controllability due to there is no any explain about the level of the controllability, in this sense, we can remove the FFS in the option 1b for the controllability, instead, to add a note for the controllability of option 1b that the full controllability or non-controll</w:t>
      </w:r>
      <w:bookmarkStart w:id="11" w:name="_GoBack"/>
      <w:bookmarkEnd w:id="11"/>
      <w:r>
        <w:rPr>
          <w:rFonts w:hint="eastAsia" w:eastAsia="宋体"/>
          <w:lang w:val="en-US" w:eastAsia="zh-CN"/>
        </w:rPr>
        <w:t xml:space="preserve">ability which depends on where the server is (e.g. inside of MNO or outside of MNO) </w:t>
      </w:r>
    </w:p>
    <w:p>
      <w:pPr>
        <w:pStyle w:val="31"/>
        <w:bidi w:val="0"/>
        <w:rPr>
          <w:rFonts w:hint="eastAsia"/>
          <w:lang w:val="en-GB"/>
        </w:rPr>
      </w:pPr>
      <w:r>
        <w:rPr>
          <w:rFonts w:hint="eastAsia"/>
          <w:lang w:val="en-US" w:eastAsia="zh-CN"/>
        </w:rPr>
        <w:t xml:space="preserve"> </w:t>
      </w:r>
      <w:bookmarkStart w:id="1" w:name="_Toc22240"/>
      <w:r>
        <w:rPr>
          <w:rFonts w:hint="eastAsia"/>
          <w:i w:val="0"/>
          <w:iCs w:val="0"/>
          <w:lang w:val="en-US" w:eastAsia="zh-CN"/>
        </w:rPr>
        <w:t xml:space="preserve">For option 1b, remove the FFS: level of controllability, add a note for the </w:t>
      </w:r>
      <w:r>
        <w:rPr>
          <w:rFonts w:hint="default"/>
          <w:i w:val="0"/>
          <w:iCs w:val="0"/>
          <w:lang w:val="en-US" w:eastAsia="zh-CN"/>
        </w:rPr>
        <w:t>‘</w:t>
      </w:r>
      <w:r>
        <w:rPr>
          <w:rFonts w:hint="eastAsia"/>
          <w:i w:val="0"/>
          <w:iCs w:val="0"/>
          <w:lang w:val="en-US" w:eastAsia="zh-CN"/>
        </w:rPr>
        <w:t>controllability can be achieved</w:t>
      </w:r>
      <w:r>
        <w:rPr>
          <w:rFonts w:hint="default"/>
          <w:i w:val="0"/>
          <w:iCs w:val="0"/>
          <w:lang w:val="en-US" w:eastAsia="zh-CN"/>
        </w:rPr>
        <w:t>’</w:t>
      </w:r>
      <w:r>
        <w:rPr>
          <w:rFonts w:hint="eastAsia"/>
          <w:i w:val="0"/>
          <w:iCs w:val="0"/>
          <w:lang w:val="en-US" w:eastAsia="zh-CN"/>
        </w:rPr>
        <w:t xml:space="preserve"> that the full controllability or non-controllability depends on where the server is (e.g. inside of MNO or outside of MNO)</w:t>
      </w:r>
      <w:bookmarkEnd w:id="1"/>
    </w:p>
    <w:p>
      <w:pPr>
        <w:spacing w:before="120" w:after="120"/>
        <w:rPr>
          <w:rFonts w:hint="eastAsia" w:eastAsiaTheme="minorEastAsia"/>
          <w:lang w:val="en-US" w:eastAsia="zh-CN"/>
        </w:rPr>
      </w:pPr>
      <w:r>
        <w:rPr>
          <w:rFonts w:hint="eastAsia" w:eastAsiaTheme="minorEastAsia"/>
          <w:lang w:val="en-US" w:eastAsia="zh-CN"/>
        </w:rPr>
        <w:t>Regarding the visibility of data content to the MNO, according to the data leakage risk from MNO as shown in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r>
              <w:t>MNO:</w:t>
            </w:r>
          </w:p>
          <w:p>
            <w:pPr>
              <w:pStyle w:val="78"/>
              <w:numPr>
                <w:ilvl w:val="0"/>
                <w:numId w:val="13"/>
              </w:numPr>
              <w:jc w:val="both"/>
            </w:pPr>
            <w:r>
              <w:t xml:space="preserve">Network Information Disclosure: MNOs may inadvertently disclose sensitive network information, such as deployment strategies, network configurations, and performance metrics, to servers outside their network. </w:t>
            </w:r>
          </w:p>
          <w:p>
            <w:pPr>
              <w:pStyle w:val="78"/>
              <w:numPr>
                <w:ilvl w:val="0"/>
                <w:numId w:val="13"/>
              </w:numPr>
              <w:jc w:val="both"/>
            </w:pPr>
            <w:r>
              <w:t>Data Transfer Risks:</w:t>
            </w:r>
            <w:r>
              <w:rPr>
                <w:highlight w:val="green"/>
              </w:rPr>
              <w:t xml:space="preserve"> MNOs are obliged to protect private and/or undisclosed information about the network of users/customers when transferring data to external servers. </w:t>
            </w:r>
            <w:r>
              <w:t>This information may be disclosed/leaked without authorization. This could include subscriber identities, locations, website visited, phone calls, etc</w:t>
            </w:r>
            <w:r>
              <w:rPr>
                <w:rStyle w:val="28"/>
              </w:rPr>
              <w:commentReference w:id="4"/>
            </w:r>
            <w:r>
              <w:t xml:space="preserve">. </w:t>
            </w:r>
          </w:p>
          <w:p>
            <w:pPr>
              <w:pStyle w:val="78"/>
              <w:numPr>
                <w:ilvl w:val="0"/>
                <w:numId w:val="13"/>
              </w:numPr>
              <w:jc w:val="both"/>
            </w:pPr>
            <w:r>
              <w:t>Regulatory Restrictions: Operators are bound by regulations which mandate the protection of customer data. Thus, any lack of control over data may lead to unwanted exposure of personal information. Non-compliance with regulatory guidelines due to improper data handling could result in significant fines or restrictions for the operators.</w:t>
            </w:r>
          </w:p>
          <w:p>
            <w:pPr>
              <w:pStyle w:val="78"/>
              <w:numPr>
                <w:ilvl w:val="0"/>
                <w:numId w:val="13"/>
              </w:numPr>
              <w:jc w:val="both"/>
            </w:pPr>
            <w:r>
              <w:t>Need for Control: FFS.</w:t>
            </w:r>
            <w:r>
              <w:rPr>
                <w:rStyle w:val="28"/>
              </w:rPr>
              <w:commentReference w:id="5"/>
            </w:r>
          </w:p>
          <w:p>
            <w:pPr>
              <w:spacing w:before="120" w:after="120"/>
              <w:rPr>
                <w:rFonts w:hint="eastAsia" w:eastAsiaTheme="minorEastAsia"/>
                <w:vertAlign w:val="baseline"/>
                <w:lang w:val="en-US" w:eastAsia="zh-CN"/>
              </w:rPr>
            </w:pPr>
          </w:p>
        </w:tc>
      </w:tr>
    </w:tbl>
    <w:p>
      <w:pPr>
        <w:spacing w:before="120" w:after="120"/>
        <w:rPr>
          <w:rFonts w:hint="default" w:eastAsiaTheme="minorEastAsia"/>
          <w:lang w:val="en-US" w:eastAsia="zh-CN"/>
        </w:rPr>
      </w:pPr>
      <w:r>
        <w:rPr>
          <w:rFonts w:hint="eastAsia" w:eastAsiaTheme="minorEastAsia"/>
          <w:lang w:val="en-US" w:eastAsia="zh-CN"/>
        </w:rPr>
        <w:t>To avoid the data transfer risks, the data shall be fully visible to the MNO if the server is inside of the MNO, and the MNO shall not get involve with data content, that is, data shall be invisible to the MNO as same as option 1a if the server is outside of the MNO. In this sense, the data visibility to MNO for option 1b is also can be divided into two categories, the first category is full visibility of the data content to the MNO, the other one is invisibility of the data content to the MNO, which is determined upon the server location (e.g. outside MNO or inside MNO)</w:t>
      </w:r>
    </w:p>
    <w:p>
      <w:pPr>
        <w:pStyle w:val="31"/>
        <w:bidi w:val="0"/>
        <w:rPr>
          <w:rFonts w:hint="eastAsia"/>
          <w:lang w:val="en-GB"/>
        </w:rPr>
      </w:pPr>
      <w:bookmarkStart w:id="2" w:name="_Toc7439"/>
      <w:r>
        <w:rPr>
          <w:rFonts w:hint="eastAsia"/>
          <w:i w:val="0"/>
          <w:iCs w:val="0"/>
          <w:lang w:val="en-US" w:eastAsia="zh-CN"/>
        </w:rPr>
        <w:t>For option 1b, the full data visibility to the MNO shall be achieved if the UE server inside the MNO, and the data invisibility to the MNO for the case of UE server outside the MNO.</w:t>
      </w:r>
      <w:bookmarkEnd w:id="2"/>
      <w:r>
        <w:rPr>
          <w:rFonts w:hint="eastAsia"/>
          <w:i w:val="0"/>
          <w:iCs w:val="0"/>
          <w:lang w:val="en-US" w:eastAsia="zh-CN"/>
        </w:rPr>
        <w:t xml:space="preserve"> </w:t>
      </w:r>
    </w:p>
    <w:p>
      <w:pPr>
        <w:bidi w:val="0"/>
        <w:rPr>
          <w:rFonts w:hint="eastAsia" w:eastAsia="宋体"/>
          <w:lang w:val="en-US" w:eastAsia="zh-CN"/>
        </w:rPr>
      </w:pPr>
      <w:r>
        <w:rPr>
          <w:rFonts w:hint="eastAsia" w:eastAsia="宋体"/>
          <w:lang w:val="en-US" w:eastAsia="zh-CN"/>
        </w:rPr>
        <w:t>Regarding the specification impact of option 1b, if proposal 2 and proposal 3 is agreeable, that means there is no controllability of the data transfer and visibility of data content for the option 1b if the UE server is located outside of the MNO, and there is full controllability of the data transfer and visibility of the data content for the option 1b if the UE server is located inside of the MNO. It has implied that, the specification impact does exist if the UE server is located inside the MNO, otherwise, there is no any specification impact of option 1b.</w:t>
      </w:r>
    </w:p>
    <w:p>
      <w:pPr>
        <w:pStyle w:val="31"/>
        <w:bidi w:val="0"/>
        <w:rPr>
          <w:rFonts w:hint="default"/>
          <w:lang w:val="en-US" w:eastAsia="zh-CN"/>
        </w:rPr>
      </w:pPr>
      <w:bookmarkStart w:id="3" w:name="_Toc22815"/>
      <w:r>
        <w:rPr>
          <w:rFonts w:hint="eastAsia"/>
          <w:i w:val="0"/>
          <w:iCs w:val="0"/>
          <w:lang w:val="en-US" w:eastAsia="zh-CN"/>
        </w:rPr>
        <w:t>For option 1b, RAN2 assumes there is specification impact of option 1b if the UE server is located inside of the MNO, and there is no any specification impact of option 1b if the UE server is located outside of the MNO.</w:t>
      </w:r>
      <w:bookmarkEnd w:id="3"/>
    </w:p>
    <w:p>
      <w:pPr>
        <w:pStyle w:val="3"/>
        <w:bidi w:val="0"/>
        <w:rPr>
          <w:rFonts w:hint="eastAsia"/>
          <w:lang w:val="en-US" w:eastAsia="zh-CN"/>
        </w:rPr>
      </w:pPr>
      <w:r>
        <w:rPr>
          <w:rFonts w:hint="eastAsia"/>
          <w:lang w:val="en-US" w:eastAsia="zh-CN"/>
        </w:rPr>
        <w:t>Option 2</w:t>
      </w:r>
    </w:p>
    <w:p>
      <w:pPr>
        <w:rPr>
          <w:rFonts w:hint="eastAsia"/>
          <w:lang w:val="en-US" w:eastAsia="zh-CN"/>
        </w:rPr>
      </w:pPr>
    </w:p>
    <w:p>
      <w:pPr>
        <w:pStyle w:val="78"/>
        <w:pBdr>
          <w:top w:val="single" w:color="auto" w:sz="4" w:space="0"/>
          <w:left w:val="single" w:color="auto" w:sz="4" w:space="0"/>
          <w:bottom w:val="single" w:color="auto" w:sz="4" w:space="0"/>
          <w:right w:val="single" w:color="auto" w:sz="4" w:space="0"/>
        </w:pBdr>
      </w:pPr>
      <w:r>
        <w:t>2.</w:t>
      </w:r>
      <w:r>
        <w:tab/>
      </w:r>
      <w:r>
        <w:t>UE collects training data and transfers it to Core Network. Core Network transfers the training data to the server for data collection for UE-side model training/OTT server</w:t>
      </w:r>
      <w:r>
        <w:rPr>
          <w:highlight w:val="none"/>
        </w:rPr>
        <w:t xml:space="preserve">. </w:t>
      </w:r>
      <w:r>
        <w:rPr>
          <w:highlight w:val="green"/>
        </w:rPr>
        <w:t>FFS whether according to RAN2 there might be 3GPP specification impact</w:t>
      </w:r>
      <w:commentRangeStart w:id="6"/>
      <w:commentRangeStart w:id="7"/>
      <w:r>
        <w:rPr>
          <w:rStyle w:val="28"/>
          <w:highlight w:val="green"/>
        </w:rPr>
        <w:commentReference w:id="6"/>
      </w:r>
      <w:commentRangeEnd w:id="6"/>
      <w:commentRangeEnd w:id="7"/>
      <w:r>
        <w:rPr>
          <w:rStyle w:val="28"/>
          <w:highlight w:val="green"/>
        </w:rPr>
        <w:commentReference w:id="7"/>
      </w:r>
      <w:r>
        <w:rPr>
          <w:highlight w:val="green"/>
        </w:rPr>
        <w:t>.</w:t>
      </w:r>
    </w:p>
    <w:p>
      <w:pPr>
        <w:bidi w:val="0"/>
        <w:rPr>
          <w:rFonts w:hint="eastAsia"/>
          <w:lang w:val="en-US" w:eastAsia="zh-CN"/>
        </w:rPr>
      </w:pPr>
      <w:bookmarkStart w:id="4" w:name="OLE_LINK2"/>
      <w:r>
        <w:rPr>
          <w:rFonts w:hint="eastAsia"/>
          <w:lang w:val="en-US" w:eastAsia="zh-CN"/>
        </w:rPr>
        <w:t>For option 2, apart from the FFS in the option description, there are 3 FFS left as shown in below:</w:t>
      </w:r>
    </w:p>
    <w:bookmarkEnd w:id="4"/>
    <w:p>
      <w:pPr>
        <w:numPr>
          <w:ilvl w:val="0"/>
          <w:numId w:val="14"/>
        </w:numPr>
        <w:spacing w:after="0"/>
        <w:ind w:left="420" w:leftChars="0" w:hanging="420" w:firstLineChars="0"/>
        <w:rPr>
          <w:rFonts w:ascii="Arial" w:hAnsi="Arial" w:eastAsia="MS Mincho" w:cs="Arial"/>
          <w:sz w:val="15"/>
          <w:szCs w:val="15"/>
          <w:highlight w:val="green"/>
          <w:lang w:eastAsia="ja-JP"/>
        </w:rPr>
      </w:pPr>
      <w:r>
        <w:rPr>
          <w:rFonts w:ascii="Arial" w:hAnsi="Arial" w:eastAsia="MS Mincho" w:cs="Arial"/>
          <w:sz w:val="15"/>
          <w:szCs w:val="15"/>
          <w:highlight w:val="green"/>
          <w:lang w:eastAsia="ja-JP"/>
        </w:rPr>
        <w:t xml:space="preserve">FFS: UP tunnel </w:t>
      </w:r>
    </w:p>
    <w:p>
      <w:pPr>
        <w:numPr>
          <w:ilvl w:val="0"/>
          <w:numId w:val="14"/>
        </w:numPr>
        <w:bidi w:val="0"/>
        <w:ind w:left="420" w:leftChars="0" w:hanging="420" w:firstLineChars="0"/>
        <w:rPr>
          <w:rFonts w:ascii="Arial" w:hAnsi="Arial" w:eastAsia="MS Mincho" w:cs="Arial"/>
          <w:sz w:val="15"/>
          <w:szCs w:val="15"/>
          <w:highlight w:val="green"/>
          <w:lang w:eastAsia="ja-JP"/>
        </w:rPr>
      </w:pPr>
      <w:r>
        <w:rPr>
          <w:rFonts w:ascii="Arial" w:hAnsi="Arial" w:eastAsia="MS Mincho" w:cs="Arial"/>
          <w:sz w:val="15"/>
          <w:szCs w:val="15"/>
          <w:highlight w:val="green"/>
          <w:lang w:eastAsia="ja-JP"/>
        </w:rPr>
        <w:t>FFS: the protocol layer for UP tunnel</w:t>
      </w:r>
    </w:p>
    <w:p>
      <w:pPr>
        <w:numPr>
          <w:ilvl w:val="0"/>
          <w:numId w:val="14"/>
        </w:numPr>
        <w:bidi w:val="0"/>
        <w:ind w:left="420" w:leftChars="0" w:hanging="420" w:firstLineChars="0"/>
        <w:rPr>
          <w:rFonts w:hint="default" w:ascii="Arial" w:hAnsi="Arial" w:eastAsia="MS Mincho" w:cs="Arial"/>
          <w:sz w:val="15"/>
          <w:szCs w:val="15"/>
          <w:highlight w:val="green"/>
          <w:lang w:val="en-US" w:eastAsia="zh-CN"/>
        </w:rPr>
      </w:pPr>
      <w:r>
        <w:rPr>
          <w:rFonts w:ascii="Arial" w:hAnsi="Arial" w:eastAsia="MS Mincho" w:cs="Arial"/>
          <w:sz w:val="15"/>
          <w:szCs w:val="15"/>
          <w:highlight w:val="green"/>
          <w:lang w:eastAsia="ja-JP"/>
        </w:rPr>
        <w:t>FFS: impact to other layers</w:t>
      </w:r>
    </w:p>
    <w:tbl>
      <w:tblPr>
        <w:tblStyle w:val="24"/>
        <w:tblW w:w="24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8"/>
        <w:gridCol w:w="2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l2br w:val="single" w:color="auto" w:sz="4" w:space="0"/>
            </w:tcBorders>
            <w:shd w:val="clear" w:color="auto" w:fill="D8D8D8" w:themeFill="background1" w:themeFillShade="D9"/>
          </w:tcPr>
          <w:p>
            <w:pPr>
              <w:spacing w:after="0"/>
              <w:rPr>
                <w:rFonts w:ascii="Arial" w:hAnsi="Arial" w:eastAsia="MS Mincho" w:cs="Arial"/>
                <w:b/>
                <w:bCs/>
                <w:sz w:val="15"/>
                <w:szCs w:val="15"/>
                <w:lang w:eastAsia="zh-CN"/>
              </w:rPr>
            </w:pPr>
            <w:r>
              <w:rPr>
                <w:rFonts w:ascii="Arial" w:hAnsi="Arial" w:eastAsia="MS Mincho" w:cs="Arial"/>
                <w:b/>
                <w:bCs/>
                <w:sz w:val="15"/>
                <w:szCs w:val="15"/>
                <w:lang w:eastAsia="zh-CN"/>
              </w:rPr>
              <w:t xml:space="preserve">              Option</w:t>
            </w:r>
          </w:p>
          <w:p>
            <w:pPr>
              <w:spacing w:after="0"/>
              <w:rPr>
                <w:rFonts w:ascii="Arial" w:hAnsi="Arial" w:eastAsia="MS Mincho" w:cs="Arial"/>
                <w:b/>
                <w:bCs/>
                <w:sz w:val="15"/>
                <w:szCs w:val="15"/>
                <w:lang w:eastAsia="zh-CN"/>
              </w:rPr>
            </w:pPr>
          </w:p>
          <w:p>
            <w:pPr>
              <w:spacing w:after="0"/>
              <w:rPr>
                <w:rFonts w:ascii="Arial" w:hAnsi="Arial" w:eastAsia="MS Mincho" w:cs="Arial"/>
                <w:b/>
                <w:bCs/>
                <w:sz w:val="15"/>
                <w:szCs w:val="15"/>
                <w:lang w:eastAsia="zh-CN"/>
              </w:rPr>
            </w:pPr>
          </w:p>
          <w:p>
            <w:pPr>
              <w:spacing w:after="0"/>
              <w:rPr>
                <w:rFonts w:ascii="Arial" w:hAnsi="Arial" w:eastAsia="MS Mincho" w:cs="Arial"/>
                <w:b/>
                <w:bCs/>
                <w:sz w:val="15"/>
                <w:szCs w:val="15"/>
                <w:lang w:eastAsia="zh-CN"/>
              </w:rPr>
            </w:pPr>
          </w:p>
          <w:p>
            <w:pPr>
              <w:spacing w:after="0"/>
              <w:rPr>
                <w:rFonts w:ascii="Arial" w:hAnsi="Arial" w:eastAsia="MS Mincho" w:cs="Arial"/>
                <w:sz w:val="15"/>
                <w:szCs w:val="15"/>
                <w:lang w:eastAsia="en-GB"/>
              </w:rPr>
            </w:pPr>
            <w:r>
              <w:rPr>
                <w:rFonts w:ascii="Arial" w:hAnsi="Arial" w:eastAsia="MS Mincho" w:cs="Arial"/>
                <w:b/>
                <w:bCs/>
                <w:sz w:val="15"/>
                <w:szCs w:val="15"/>
                <w:lang w:eastAsia="zh-CN"/>
              </w:rPr>
              <w:t>Aspect</w:t>
            </w:r>
          </w:p>
        </w:tc>
        <w:tc>
          <w:tcPr>
            <w:tcW w:w="2500" w:type="pct"/>
            <w:shd w:val="clear" w:color="auto" w:fill="D8D8D8" w:themeFill="background1" w:themeFillShade="D9"/>
          </w:tcPr>
          <w:p>
            <w:pPr>
              <w:spacing w:after="0"/>
              <w:jc w:val="center"/>
              <w:rPr>
                <w:rFonts w:ascii="Arial" w:hAnsi="Arial" w:eastAsia="MS Mincho" w:cs="Arial"/>
                <w:sz w:val="15"/>
                <w:szCs w:val="15"/>
                <w:lang w:eastAsia="en-GB"/>
              </w:rPr>
            </w:pPr>
            <w:r>
              <w:rPr>
                <w:rFonts w:ascii="Arial" w:hAnsi="Arial" w:eastAsia="MS Mincho" w:cs="Arial"/>
                <w:b/>
                <w:bCs/>
                <w:sz w:val="15"/>
                <w:szCs w:val="15"/>
                <w:lang w:eastAsia="en-GB"/>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First termination entity</w:t>
            </w:r>
          </w:p>
        </w:tc>
        <w:tc>
          <w:tcPr>
            <w:tcW w:w="2500" w:type="pct"/>
          </w:tcPr>
          <w:p>
            <w:pPr>
              <w:spacing w:after="0"/>
              <w:rPr>
                <w:rFonts w:ascii="Arial" w:hAnsi="Arial" w:eastAsia="MS Mincho" w:cs="Arial"/>
                <w:sz w:val="15"/>
                <w:szCs w:val="15"/>
                <w:lang w:eastAsia="en-GB"/>
              </w:rPr>
            </w:pPr>
            <w:r>
              <w:rPr>
                <w:rFonts w:ascii="Arial" w:hAnsi="Arial" w:eastAsia="MS Mincho" w:cs="Arial"/>
                <w:sz w:val="15"/>
                <w:szCs w:val="15"/>
                <w:lang w:eastAsia="ja-JP"/>
              </w:rPr>
              <w:t xml:space="preserve">Inside the CN </w:t>
            </w:r>
            <w:r>
              <w:rPr>
                <w:rStyle w:val="28"/>
                <w:rFonts w:eastAsia="宋体"/>
                <w:sz w:val="13"/>
                <w:szCs w:val="13"/>
              </w:rPr>
              <w:commentReference w:id="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AI/ML-specific Data Transfer Path</w:t>
            </w:r>
          </w:p>
        </w:tc>
        <w:tc>
          <w:tcPr>
            <w:tcW w:w="2500" w:type="pct"/>
          </w:tcPr>
          <w:p>
            <w:pPr>
              <w:rPr>
                <w:rFonts w:ascii="Arial" w:hAnsi="Arial" w:eastAsia="MS Mincho" w:cs="Arial"/>
                <w:sz w:val="15"/>
                <w:szCs w:val="15"/>
                <w:lang w:eastAsia="ja-JP"/>
              </w:rPr>
            </w:pPr>
            <w:r>
              <w:rPr>
                <w:rFonts w:ascii="Arial" w:hAnsi="Arial" w:eastAsia="MS Mincho" w:cs="Arial"/>
                <w:sz w:val="15"/>
                <w:szCs w:val="15"/>
                <w:lang w:eastAsia="ja-JP"/>
              </w:rPr>
              <w:t>UE-&gt; CN -&gt; Server for data collection for UE-side model training/OTT server</w:t>
            </w:r>
          </w:p>
          <w:p>
            <w:pPr>
              <w:spacing w:after="0"/>
              <w:rPr>
                <w:rFonts w:ascii="Arial" w:hAnsi="Arial" w:eastAsia="MS Mincho" w:cs="Arial"/>
                <w:sz w:val="15"/>
                <w:szCs w:val="15"/>
                <w:lang w:eastAsia="ja-JP"/>
              </w:rPr>
            </w:pPr>
            <w:r>
              <w:rPr>
                <w:rFonts w:ascii="Arial" w:hAnsi="Arial" w:eastAsia="MS Mincho" w:cs="Arial"/>
                <w:sz w:val="15"/>
                <w:szCs w:val="15"/>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UP/CP tunnel</w:t>
            </w:r>
          </w:p>
        </w:tc>
        <w:tc>
          <w:tcPr>
            <w:tcW w:w="2500" w:type="pct"/>
          </w:tcPr>
          <w:p>
            <w:pPr>
              <w:rPr>
                <w:rFonts w:ascii="Arial" w:hAnsi="Arial" w:eastAsia="MS Mincho" w:cs="Arial"/>
                <w:sz w:val="15"/>
                <w:szCs w:val="15"/>
                <w:lang w:eastAsia="ja-JP"/>
              </w:rPr>
            </w:pPr>
            <w:r>
              <w:rPr>
                <w:rFonts w:ascii="Arial" w:hAnsi="Arial" w:eastAsia="MS Mincho" w:cs="Arial"/>
                <w:sz w:val="15"/>
                <w:szCs w:val="15"/>
                <w:lang w:eastAsia="ja-JP"/>
              </w:rPr>
              <w:t>CP tunnel (provided that the data volume remains within the NAS signalling capacity)</w:t>
            </w:r>
          </w:p>
          <w:p>
            <w:pPr>
              <w:spacing w:after="0"/>
              <w:rPr>
                <w:rFonts w:ascii="Arial" w:hAnsi="Arial" w:eastAsia="MS Mincho" w:cs="Arial"/>
                <w:sz w:val="15"/>
                <w:szCs w:val="15"/>
                <w:highlight w:val="green"/>
                <w:lang w:eastAsia="ja-JP"/>
              </w:rPr>
            </w:pPr>
            <w:r>
              <w:rPr>
                <w:rFonts w:ascii="Arial" w:hAnsi="Arial" w:eastAsia="MS Mincho" w:cs="Arial"/>
                <w:sz w:val="15"/>
                <w:szCs w:val="15"/>
                <w:highlight w:val="green"/>
                <w:lang w:eastAsia="ja-JP"/>
              </w:rPr>
              <w:t xml:space="preserve">FFS: UP tunnel </w:t>
            </w:r>
          </w:p>
          <w:p>
            <w:pPr>
              <w:spacing w:after="0"/>
              <w:rPr>
                <w:rFonts w:ascii="Arial" w:hAnsi="Arial" w:eastAsia="MS Mincho" w:cs="Arial"/>
                <w:sz w:val="15"/>
                <w:szCs w:val="15"/>
                <w:lang w:eastAsia="en-GB"/>
              </w:rPr>
            </w:pPr>
            <w:r>
              <w:rPr>
                <w:rFonts w:ascii="Arial" w:hAnsi="Arial" w:eastAsia="MS Mincho" w:cs="Arial"/>
                <w:sz w:val="15"/>
                <w:szCs w:val="15"/>
                <w:highlight w:val="none"/>
                <w:lang w:eastAsia="ja-JP"/>
              </w:rPr>
              <w:t>FFS: LPP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Protocol layer for data transfer</w:t>
            </w:r>
          </w:p>
        </w:tc>
        <w:tc>
          <w:tcPr>
            <w:tcW w:w="2500" w:type="pct"/>
          </w:tcPr>
          <w:p>
            <w:pPr>
              <w:rPr>
                <w:rFonts w:ascii="Arial" w:hAnsi="Arial" w:eastAsia="MS Mincho" w:cs="Arial"/>
                <w:sz w:val="15"/>
                <w:szCs w:val="15"/>
                <w:lang w:eastAsia="ja-JP"/>
              </w:rPr>
            </w:pPr>
            <w:r>
              <w:rPr>
                <w:rFonts w:ascii="Arial" w:hAnsi="Arial" w:eastAsia="MS Mincho" w:cs="Arial"/>
                <w:sz w:val="15"/>
                <w:szCs w:val="15"/>
                <w:lang w:eastAsia="ja-JP"/>
              </w:rPr>
              <w:t>NAS layer for CP tunnel</w:t>
            </w:r>
          </w:p>
          <w:p>
            <w:pPr>
              <w:spacing w:after="0"/>
              <w:rPr>
                <w:rFonts w:ascii="Arial" w:hAnsi="Arial" w:eastAsia="MS Mincho" w:cs="Arial"/>
                <w:sz w:val="15"/>
                <w:szCs w:val="15"/>
                <w:lang w:eastAsia="en-GB"/>
              </w:rPr>
            </w:pPr>
            <w:r>
              <w:rPr>
                <w:rFonts w:ascii="Arial" w:hAnsi="Arial" w:eastAsia="MS Mincho" w:cs="Arial"/>
                <w:sz w:val="15"/>
                <w:szCs w:val="15"/>
                <w:highlight w:val="green"/>
                <w:lang w:eastAsia="ja-JP"/>
              </w:rPr>
              <w:t>FFS: the protocol layer for UP tunnel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Controllability of MNO on data transfer</w:t>
            </w:r>
          </w:p>
        </w:tc>
        <w:tc>
          <w:tcPr>
            <w:tcW w:w="2500" w:type="pct"/>
          </w:tcPr>
          <w:p>
            <w:pPr>
              <w:spacing w:after="0"/>
              <w:rPr>
                <w:rFonts w:ascii="Arial" w:hAnsi="Arial" w:eastAsia="MS Mincho" w:cs="Arial"/>
                <w:sz w:val="15"/>
                <w:szCs w:val="15"/>
                <w:lang w:eastAsia="ja-JP"/>
              </w:rPr>
            </w:pPr>
            <w:r>
              <w:rPr>
                <w:rFonts w:ascii="Arial" w:hAnsi="Arial" w:eastAsia="MS Mincho" w:cs="Arial"/>
                <w:sz w:val="15"/>
                <w:szCs w:val="15"/>
                <w:lang w:eastAsia="ja-JP"/>
              </w:rPr>
              <w:t xml:space="preserve">Full controllability </w:t>
            </w:r>
          </w:p>
          <w:p>
            <w:pPr>
              <w:spacing w:after="0"/>
              <w:rPr>
                <w:rFonts w:ascii="Arial" w:hAnsi="Arial" w:eastAsia="MS Mincho" w:cs="Arial"/>
                <w:sz w:val="15"/>
                <w:szCs w:val="15"/>
                <w:lang w:eastAsia="ja-JP"/>
              </w:rPr>
            </w:pPr>
          </w:p>
          <w:p>
            <w:pPr>
              <w:spacing w:after="0"/>
              <w:rPr>
                <w:rFonts w:ascii="Arial" w:hAnsi="Arial" w:eastAsia="MS Mincho" w:cs="Arial"/>
                <w:sz w:val="15"/>
                <w:szCs w:val="15"/>
                <w:lang w:eastAsia="en-GB"/>
              </w:rPr>
            </w:pPr>
            <w:r>
              <w:rPr>
                <w:rFonts w:ascii="Arial" w:hAnsi="Arial" w:eastAsia="MS Mincho" w:cs="Arial"/>
                <w:sz w:val="15"/>
                <w:szCs w:val="15"/>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Solution for network controllability</w:t>
            </w:r>
            <w:r>
              <w:rPr>
                <w:rStyle w:val="28"/>
                <w:rFonts w:eastAsia="宋体"/>
                <w:sz w:val="13"/>
                <w:szCs w:val="13"/>
              </w:rPr>
              <w:commentReference w:id="9"/>
            </w:r>
          </w:p>
        </w:tc>
        <w:tc>
          <w:tcPr>
            <w:tcW w:w="2500" w:type="pct"/>
          </w:tcPr>
          <w:p>
            <w:pPr>
              <w:spacing w:after="0"/>
              <w:rPr>
                <w:rFonts w:ascii="Arial" w:hAnsi="Arial" w:eastAsia="MS Mincho" w:cs="Arial"/>
                <w:sz w:val="15"/>
                <w:szCs w:val="15"/>
                <w:lang w:eastAsia="ja-JP"/>
              </w:rPr>
            </w:pPr>
            <w:r>
              <w:rPr>
                <w:rFonts w:ascii="Arial" w:hAnsi="Arial" w:eastAsia="MS Mincho" w:cs="Arial"/>
                <w:sz w:val="15"/>
                <w:szCs w:val="15"/>
                <w:lang w:eastAsia="ja-JP"/>
              </w:rPr>
              <w:t>Via NAS procedure</w:t>
            </w:r>
          </w:p>
          <w:p>
            <w:pPr>
              <w:spacing w:after="0"/>
              <w:rPr>
                <w:rFonts w:ascii="Arial" w:hAnsi="Arial" w:eastAsia="MS Mincho" w:cs="Arial"/>
                <w:sz w:val="15"/>
                <w:szCs w:val="15"/>
                <w:lang w:eastAsia="ja-JP"/>
              </w:rPr>
            </w:pPr>
          </w:p>
          <w:p>
            <w:pPr>
              <w:spacing w:after="0"/>
              <w:rPr>
                <w:rFonts w:ascii="Arial" w:hAnsi="Arial" w:eastAsia="MS Mincho" w:cs="Arial"/>
                <w:sz w:val="15"/>
                <w:szCs w:val="15"/>
                <w:lang w:eastAsia="en-GB"/>
              </w:rPr>
            </w:pPr>
            <w:r>
              <w:rPr>
                <w:rFonts w:ascii="Arial" w:hAnsi="Arial" w:eastAsia="MS Mincho" w:cs="Arial"/>
                <w:sz w:val="15"/>
                <w:szCs w:val="15"/>
                <w:highlight w:val="green"/>
                <w:lang w:eastAsia="ja-JP"/>
              </w:rPr>
              <w:t>FFS: impact to other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 xml:space="preserve">Possible Options for Visibility of data content in MNO and Data format (Note 2, Note 3) </w:t>
            </w:r>
          </w:p>
        </w:tc>
        <w:tc>
          <w:tcPr>
            <w:tcW w:w="2500" w:type="pct"/>
          </w:tcPr>
          <w:p>
            <w:pPr>
              <w:rPr>
                <w:rFonts w:ascii="Arial" w:hAnsi="Arial" w:eastAsia="MS Mincho" w:cs="Arial"/>
                <w:sz w:val="15"/>
                <w:szCs w:val="15"/>
                <w:lang w:eastAsia="ja-JP"/>
              </w:rPr>
            </w:pPr>
            <w:r>
              <w:rPr>
                <w:rFonts w:ascii="Arial" w:hAnsi="Arial" w:eastAsia="MS Mincho" w:cs="Arial"/>
                <w:sz w:val="15"/>
                <w:szCs w:val="15"/>
                <w:lang w:eastAsia="ja-JP"/>
              </w:rPr>
              <w:t>Opt A) Full visibility for standardized data content.</w:t>
            </w:r>
          </w:p>
          <w:p>
            <w:pPr>
              <w:rPr>
                <w:rFonts w:ascii="Arial" w:hAnsi="Arial" w:eastAsia="MS Mincho" w:cs="Arial"/>
                <w:sz w:val="15"/>
                <w:szCs w:val="15"/>
                <w:highlight w:val="none"/>
                <w:lang w:eastAsia="ja-JP"/>
              </w:rPr>
            </w:pPr>
            <w:r>
              <w:rPr>
                <w:rFonts w:ascii="Arial" w:hAnsi="Arial" w:eastAsia="MS Mincho" w:cs="Arial"/>
                <w:sz w:val="15"/>
                <w:szCs w:val="15"/>
                <w:highlight w:val="none"/>
                <w:lang w:eastAsia="ja-JP"/>
              </w:rPr>
              <w:t xml:space="preserve">FFS: Opt B) Partial visibility for partially standardized data content. </w:t>
            </w:r>
          </w:p>
          <w:p>
            <w:pPr>
              <w:rPr>
                <w:rFonts w:ascii="Arial" w:hAnsi="Arial" w:eastAsia="MS Mincho" w:cs="Arial"/>
                <w:kern w:val="2"/>
                <w:sz w:val="15"/>
                <w:szCs w:val="15"/>
                <w:highlight w:val="none"/>
                <w:lang w:eastAsia="ja-JP"/>
              </w:rPr>
            </w:pPr>
            <w:r>
              <w:rPr>
                <w:rFonts w:ascii="Arial" w:hAnsi="Arial" w:eastAsia="MS Mincho" w:cs="Arial"/>
                <w:kern w:val="2"/>
                <w:sz w:val="15"/>
                <w:szCs w:val="15"/>
                <w:highlight w:val="none"/>
                <w:lang w:eastAsia="ja-JP"/>
              </w:rPr>
              <w:t>FFS Opt C) No standardized visibility.</w:t>
            </w:r>
          </w:p>
          <w:p>
            <w:pPr>
              <w:rPr>
                <w:rFonts w:ascii="Arial" w:hAnsi="Arial" w:eastAsia="MS Mincho" w:cs="Arial"/>
                <w:sz w:val="15"/>
                <w:szCs w:val="15"/>
                <w:lang w:eastAsia="en-GB"/>
              </w:rPr>
            </w:pPr>
            <w:r>
              <w:rPr>
                <w:rFonts w:ascii="Arial" w:hAnsi="Arial" w:eastAsia="MS Mincho" w:cs="Arial"/>
                <w:sz w:val="15"/>
                <w:szCs w:val="15"/>
                <w:highlight w:val="none"/>
              </w:rPr>
              <w:t>FFS: meaning of ‘partial/partially’ and how to achieve different levels of visibility.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Involved WGs</w:t>
            </w:r>
          </w:p>
        </w:tc>
        <w:tc>
          <w:tcPr>
            <w:tcW w:w="2500" w:type="pct"/>
          </w:tcPr>
          <w:p>
            <w:pPr>
              <w:spacing w:after="0"/>
              <w:rPr>
                <w:rFonts w:ascii="Arial" w:hAnsi="Arial" w:eastAsia="MS Mincho" w:cs="Arial"/>
                <w:sz w:val="15"/>
                <w:szCs w:val="15"/>
                <w:lang w:eastAsia="en-GB"/>
              </w:rPr>
            </w:pPr>
            <w:r>
              <w:rPr>
                <w:rFonts w:ascii="Arial" w:hAnsi="Arial" w:eastAsia="MS Mincho" w:cs="Arial"/>
                <w:sz w:val="15"/>
                <w:szCs w:val="15"/>
                <w:lang w:eastAsia="ja-JP"/>
              </w:rPr>
              <w:t>SA2, SA3, RAN3, RAN2, CT1 and CT3</w:t>
            </w:r>
          </w:p>
        </w:tc>
      </w:tr>
    </w:tbl>
    <w:p>
      <w:pPr>
        <w:numPr>
          <w:numId w:val="0"/>
        </w:numPr>
        <w:bidi w:val="0"/>
        <w:ind w:leftChars="0"/>
        <w:rPr>
          <w:rFonts w:hint="eastAsia"/>
          <w:lang w:val="en-US" w:eastAsia="zh-CN"/>
        </w:rPr>
      </w:pPr>
      <w:r>
        <w:rPr>
          <w:rFonts w:hint="eastAsia"/>
          <w:lang w:val="en-US" w:eastAsia="zh-CN"/>
        </w:rPr>
        <w:t>Regarding the option 2, it also can be discussed in two separate cases:</w:t>
      </w:r>
    </w:p>
    <w:p>
      <w:pPr>
        <w:numPr>
          <w:ilvl w:val="0"/>
          <w:numId w:val="15"/>
        </w:numPr>
        <w:bidi w:val="0"/>
        <w:ind w:left="420" w:leftChars="0" w:hanging="420" w:firstLineChars="0"/>
        <w:rPr>
          <w:rFonts w:hint="default"/>
          <w:lang w:val="en-US" w:eastAsia="zh-CN"/>
        </w:rPr>
      </w:pPr>
      <w:r>
        <w:rPr>
          <w:rFonts w:hint="eastAsia"/>
          <w:lang w:val="en-US" w:eastAsia="zh-CN"/>
        </w:rPr>
        <w:t>Case 1: The UE server is inside the MNO</w:t>
      </w:r>
    </w:p>
    <w:p>
      <w:pPr>
        <w:numPr>
          <w:ilvl w:val="0"/>
          <w:numId w:val="15"/>
        </w:numPr>
        <w:bidi w:val="0"/>
        <w:ind w:left="420" w:leftChars="0" w:hanging="420" w:firstLineChars="0"/>
        <w:rPr>
          <w:rFonts w:hint="default"/>
          <w:lang w:val="en-US" w:eastAsia="zh-CN"/>
        </w:rPr>
      </w:pPr>
      <w:r>
        <w:rPr>
          <w:rFonts w:hint="eastAsia"/>
          <w:lang w:val="en-US" w:eastAsia="zh-CN"/>
        </w:rPr>
        <w:t>Case 2: The UE server is outside the MNO (e.g. OTT server)</w:t>
      </w:r>
    </w:p>
    <w:p>
      <w:pPr>
        <w:numPr>
          <w:numId w:val="0"/>
        </w:numPr>
        <w:bidi w:val="0"/>
        <w:ind w:leftChars="0"/>
        <w:rPr>
          <w:rFonts w:hint="eastAsia"/>
          <w:lang w:val="en-US" w:eastAsia="zh-CN"/>
        </w:rPr>
      </w:pPr>
      <w:r>
        <w:rPr>
          <w:rFonts w:hint="eastAsia"/>
          <w:lang w:val="en-US" w:eastAsia="zh-CN"/>
        </w:rPr>
        <w:t>Regarding the case 1 (e.g. UE server inside the MNO), apart from CP tunnel, the UP tunnel for transferring the data between UE and UE server inside the MNO does exist, e.g. Non IP based Data delivery, which is a procedure by which to establish a unstructured PDU session for transferring the unstructured data between UE and AF via NEF. However, by considering the privacy concern of the delivered data, even if the UP tunnel can be supported for the data delivery between UE and UE server inside the MNO, the method design also need take the data privacy into account.</w:t>
      </w:r>
    </w:p>
    <w:p>
      <w:pPr>
        <w:numPr>
          <w:numId w:val="0"/>
        </w:numPr>
        <w:bidi w:val="0"/>
        <w:ind w:leftChars="0"/>
        <w:rPr>
          <w:rFonts w:hint="default"/>
          <w:lang w:val="en-US" w:eastAsia="zh-CN"/>
        </w:rPr>
      </w:pPr>
      <w:r>
        <w:rPr>
          <w:rFonts w:hint="eastAsia"/>
          <w:lang w:val="en-US" w:eastAsia="zh-CN"/>
        </w:rPr>
        <w:t xml:space="preserve">Regarding case 2, the communication between UE and OTT server which is outside of the MNO via CN is quite similar as the option 1a, that is, it can be 3GPP transparent. in this sense, the case 2 can be removed from option 2. </w:t>
      </w:r>
    </w:p>
    <w:p>
      <w:pPr>
        <w:numPr>
          <w:numId w:val="0"/>
        </w:numPr>
        <w:bidi w:val="0"/>
        <w:ind w:leftChars="0"/>
        <w:rPr>
          <w:rFonts w:hint="eastAsia"/>
          <w:lang w:val="en-US" w:eastAsia="zh-CN"/>
        </w:rPr>
      </w:pPr>
      <w:r>
        <w:rPr>
          <w:rFonts w:hint="eastAsia"/>
          <w:lang w:val="en-US" w:eastAsia="zh-CN"/>
        </w:rPr>
        <w:t>Above all, we have two proposals:</w:t>
      </w:r>
    </w:p>
    <w:p>
      <w:pPr>
        <w:pStyle w:val="31"/>
        <w:bidi w:val="0"/>
        <w:rPr>
          <w:rFonts w:hint="default"/>
          <w:lang w:val="en-US" w:eastAsia="zh-CN"/>
        </w:rPr>
      </w:pPr>
      <w:bookmarkStart w:id="5" w:name="_Toc18945"/>
      <w:r>
        <w:rPr>
          <w:rFonts w:hint="eastAsia"/>
          <w:i w:val="0"/>
          <w:iCs w:val="0"/>
          <w:lang w:val="en-US" w:eastAsia="zh-CN"/>
        </w:rPr>
        <w:t>For AI/ML-specific data transfer path in option 2, remove the OTT server from the path.</w:t>
      </w:r>
      <w:bookmarkEnd w:id="5"/>
      <w:r>
        <w:rPr>
          <w:rFonts w:hint="eastAsia"/>
          <w:i w:val="0"/>
          <w:iCs w:val="0"/>
          <w:lang w:val="en-US" w:eastAsia="zh-CN"/>
        </w:rPr>
        <w:t xml:space="preserve"> </w:t>
      </w:r>
    </w:p>
    <w:p>
      <w:pPr>
        <w:pStyle w:val="31"/>
        <w:bidi w:val="0"/>
        <w:rPr>
          <w:rFonts w:hint="default"/>
          <w:lang w:val="en-US" w:eastAsia="zh-CN"/>
        </w:rPr>
      </w:pPr>
      <w:bookmarkStart w:id="6" w:name="_Toc21848"/>
      <w:r>
        <w:rPr>
          <w:rFonts w:hint="eastAsia"/>
          <w:i w:val="0"/>
          <w:iCs w:val="0"/>
          <w:lang w:val="en-US" w:eastAsia="zh-CN"/>
        </w:rPr>
        <w:t>For option 2, RAN2 assumes UP tunnel based solution can be taken into account for transferring the data from UE to the UE server inside the MNO, and the solution design is up to CT/SA group which shall consider the UE data privacy.</w:t>
      </w:r>
      <w:bookmarkEnd w:id="6"/>
    </w:p>
    <w:p>
      <w:pPr>
        <w:numPr>
          <w:numId w:val="0"/>
        </w:numPr>
        <w:bidi w:val="0"/>
        <w:ind w:leftChars="0"/>
        <w:rPr>
          <w:rFonts w:hint="default"/>
          <w:lang w:val="en-US" w:eastAsia="zh-CN"/>
        </w:rPr>
      </w:pPr>
      <w:r>
        <w:rPr>
          <w:rFonts w:hint="eastAsia"/>
          <w:lang w:val="en-US" w:eastAsia="zh-CN"/>
        </w:rPr>
        <w:t>Assuming the proposal 6 can be agreeable, it is also assumed the NAS layer would be in charge of the data transfer between UE and server for UE side data collection which is like the NDDI method. And from RAN2 perspective, like the normal UP data transfer, there is no any special impact on the air-interface.</w:t>
      </w:r>
    </w:p>
    <w:p>
      <w:pPr>
        <w:pStyle w:val="31"/>
        <w:bidi w:val="0"/>
        <w:rPr>
          <w:rFonts w:hint="default"/>
          <w:lang w:val="en-US" w:eastAsia="zh-CN"/>
        </w:rPr>
      </w:pPr>
      <w:bookmarkStart w:id="7" w:name="_Toc29135"/>
      <w:r>
        <w:rPr>
          <w:rFonts w:hint="eastAsia"/>
          <w:i w:val="0"/>
          <w:iCs w:val="0"/>
          <w:lang w:val="en-US" w:eastAsia="zh-CN"/>
        </w:rPr>
        <w:t>RAN2 assumes there is specification impact of option 2, and the impact layer of option 2 is NAS layer.</w:t>
      </w:r>
      <w:bookmarkEnd w:id="7"/>
    </w:p>
    <w:p>
      <w:pPr>
        <w:pStyle w:val="3"/>
        <w:bidi w:val="0"/>
        <w:rPr>
          <w:rFonts w:hint="default"/>
          <w:lang w:val="en-US" w:eastAsia="zh-CN"/>
        </w:rPr>
      </w:pPr>
      <w:r>
        <w:rPr>
          <w:rFonts w:hint="eastAsia"/>
          <w:lang w:val="en-US" w:eastAsia="zh-CN"/>
        </w:rPr>
        <w:t>Option 3</w:t>
      </w:r>
    </w:p>
    <w:p>
      <w:pPr>
        <w:pStyle w:val="78"/>
        <w:pBdr>
          <w:top w:val="single" w:color="auto" w:sz="4" w:space="0"/>
          <w:left w:val="single" w:color="auto" w:sz="4" w:space="0"/>
          <w:bottom w:val="single" w:color="auto" w:sz="4" w:space="0"/>
          <w:right w:val="single" w:color="auto" w:sz="4" w:space="0"/>
        </w:pBdr>
      </w:pPr>
      <w:r>
        <w:t>3.</w:t>
      </w:r>
      <w:r>
        <w:tab/>
      </w:r>
      <w:r>
        <w:t xml:space="preserve">UE collects training data and transfers it to OAM. OAM transfers the training data to the server for data collection for UE-side model training/OTT server. </w:t>
      </w:r>
      <w:r>
        <w:rPr>
          <w:highlight w:val="green"/>
        </w:rPr>
        <w:t>FFS whether according to RAN2 there might be 3GPP specification impact</w:t>
      </w:r>
      <w:commentRangeStart w:id="10"/>
      <w:commentRangeStart w:id="11"/>
      <w:r>
        <w:rPr>
          <w:rStyle w:val="28"/>
          <w:highlight w:val="green"/>
        </w:rPr>
        <w:commentReference w:id="10"/>
      </w:r>
      <w:commentRangeEnd w:id="10"/>
      <w:commentRangeEnd w:id="11"/>
      <w:r>
        <w:rPr>
          <w:rStyle w:val="28"/>
          <w:highlight w:val="green"/>
        </w:rPr>
        <w:commentReference w:id="11"/>
      </w:r>
      <w:r>
        <w:rPr>
          <w:highlight w:val="green"/>
        </w:rPr>
        <w:t>.</w:t>
      </w:r>
    </w:p>
    <w:p>
      <w:pPr>
        <w:bidi w:val="0"/>
        <w:rPr>
          <w:rFonts w:hint="eastAsia"/>
          <w:lang w:val="en-US" w:eastAsia="zh-CN"/>
        </w:rPr>
      </w:pPr>
      <w:r>
        <w:rPr>
          <w:rFonts w:hint="eastAsia"/>
          <w:lang w:val="en-US" w:eastAsia="zh-CN"/>
        </w:rPr>
        <w:t>For option 3, apart from the FFS in the above option description, it is also discussed that 3 FFS left as shown in below:</w:t>
      </w:r>
    </w:p>
    <w:p>
      <w:pPr>
        <w:rPr>
          <w:rFonts w:hint="eastAsia"/>
          <w:lang w:val="en-US" w:eastAsia="zh-CN"/>
        </w:rPr>
      </w:pPr>
    </w:p>
    <w:tbl>
      <w:tblPr>
        <w:tblStyle w:val="24"/>
        <w:tblW w:w="1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l2br w:val="single" w:color="auto" w:sz="4" w:space="0"/>
            </w:tcBorders>
            <w:shd w:val="clear" w:color="auto" w:fill="D8D8D8" w:themeFill="background1" w:themeFillShade="D9"/>
          </w:tcPr>
          <w:p>
            <w:pPr>
              <w:spacing w:after="0"/>
              <w:rPr>
                <w:rFonts w:ascii="Arial" w:hAnsi="Arial" w:eastAsia="MS Mincho" w:cs="Arial"/>
                <w:b/>
                <w:bCs/>
                <w:sz w:val="15"/>
                <w:szCs w:val="15"/>
                <w:lang w:eastAsia="zh-CN"/>
              </w:rPr>
            </w:pPr>
            <w:r>
              <w:rPr>
                <w:rFonts w:ascii="Arial" w:hAnsi="Arial" w:eastAsia="MS Mincho" w:cs="Arial"/>
                <w:b/>
                <w:bCs/>
                <w:sz w:val="15"/>
                <w:szCs w:val="15"/>
                <w:lang w:eastAsia="zh-CN"/>
              </w:rPr>
              <w:t xml:space="preserve">              Option</w:t>
            </w:r>
          </w:p>
          <w:p>
            <w:pPr>
              <w:spacing w:after="0"/>
              <w:rPr>
                <w:rFonts w:ascii="Arial" w:hAnsi="Arial" w:eastAsia="MS Mincho" w:cs="Arial"/>
                <w:b/>
                <w:bCs/>
                <w:sz w:val="15"/>
                <w:szCs w:val="15"/>
                <w:lang w:eastAsia="zh-CN"/>
              </w:rPr>
            </w:pPr>
          </w:p>
          <w:p>
            <w:pPr>
              <w:spacing w:after="0"/>
              <w:rPr>
                <w:rFonts w:ascii="Arial" w:hAnsi="Arial" w:eastAsia="MS Mincho" w:cs="Arial"/>
                <w:b/>
                <w:bCs/>
                <w:sz w:val="15"/>
                <w:szCs w:val="15"/>
                <w:lang w:eastAsia="zh-CN"/>
              </w:rPr>
            </w:pPr>
          </w:p>
          <w:p>
            <w:pPr>
              <w:spacing w:after="0"/>
              <w:rPr>
                <w:rFonts w:ascii="Arial" w:hAnsi="Arial" w:eastAsia="MS Mincho" w:cs="Arial"/>
                <w:b/>
                <w:bCs/>
                <w:sz w:val="15"/>
                <w:szCs w:val="15"/>
                <w:lang w:eastAsia="zh-CN"/>
              </w:rPr>
            </w:pPr>
          </w:p>
          <w:p>
            <w:pPr>
              <w:spacing w:after="0"/>
              <w:rPr>
                <w:rFonts w:ascii="Arial" w:hAnsi="Arial" w:eastAsia="MS Mincho" w:cs="Arial"/>
                <w:sz w:val="15"/>
                <w:szCs w:val="15"/>
                <w:lang w:eastAsia="en-GB"/>
              </w:rPr>
            </w:pPr>
            <w:r>
              <w:rPr>
                <w:rFonts w:ascii="Arial" w:hAnsi="Arial" w:eastAsia="MS Mincho" w:cs="Arial"/>
                <w:b/>
                <w:bCs/>
                <w:sz w:val="15"/>
                <w:szCs w:val="15"/>
                <w:lang w:eastAsia="zh-CN"/>
              </w:rPr>
              <w:t>Aspect</w:t>
            </w:r>
          </w:p>
        </w:tc>
        <w:tc>
          <w:tcPr>
            <w:tcW w:w="2500" w:type="pct"/>
            <w:shd w:val="clear" w:color="auto" w:fill="D8D8D8" w:themeFill="background1" w:themeFillShade="D9"/>
          </w:tcPr>
          <w:p>
            <w:pPr>
              <w:overflowPunct w:val="0"/>
              <w:autoSpaceDE w:val="0"/>
              <w:autoSpaceDN w:val="0"/>
              <w:adjustRightInd w:val="0"/>
              <w:spacing w:after="0"/>
              <w:ind w:hanging="360"/>
              <w:jc w:val="center"/>
              <w:textAlignment w:val="baseline"/>
              <w:rPr>
                <w:rFonts w:ascii="Arial" w:hAnsi="Arial" w:eastAsia="MS Mincho" w:cs="Arial"/>
                <w:sz w:val="15"/>
                <w:szCs w:val="15"/>
                <w:lang w:eastAsia="en-GB"/>
              </w:rPr>
            </w:pPr>
            <w:r>
              <w:rPr>
                <w:rFonts w:ascii="Arial" w:hAnsi="Arial" w:eastAsia="MS Mincho" w:cs="Arial"/>
                <w:b/>
                <w:bCs/>
                <w:sz w:val="15"/>
                <w:szCs w:val="15"/>
                <w:lang w:eastAsia="en-GB"/>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First termination entity</w:t>
            </w:r>
          </w:p>
        </w:tc>
        <w:tc>
          <w:tcPr>
            <w:tcW w:w="2500" w:type="pct"/>
          </w:tcPr>
          <w:p>
            <w:pPr>
              <w:overflowPunct w:val="0"/>
              <w:autoSpaceDE w:val="0"/>
              <w:autoSpaceDN w:val="0"/>
              <w:adjustRightInd w:val="0"/>
              <w:spacing w:after="0"/>
              <w:ind w:left="360" w:hanging="360"/>
              <w:contextualSpacing/>
              <w:textAlignment w:val="baseline"/>
              <w:rPr>
                <w:rFonts w:ascii="Arial" w:hAnsi="Arial" w:eastAsia="MS Mincho" w:cs="Arial"/>
                <w:sz w:val="15"/>
                <w:szCs w:val="15"/>
                <w:lang w:eastAsia="en-GB"/>
              </w:rPr>
            </w:pPr>
            <w:r>
              <w:rPr>
                <w:rFonts w:ascii="Arial" w:hAnsi="Arial" w:eastAsia="MS Mincho" w:cs="Arial"/>
                <w:sz w:val="15"/>
                <w:szCs w:val="15"/>
                <w:lang w:eastAsia="ja-JP"/>
              </w:rPr>
              <w:t>Inside OAM domain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AI/ML-specific Data Transfer Path</w:t>
            </w:r>
          </w:p>
        </w:tc>
        <w:tc>
          <w:tcPr>
            <w:tcW w:w="2500" w:type="pct"/>
          </w:tcPr>
          <w:p>
            <w:pPr>
              <w:rPr>
                <w:rFonts w:ascii="Arial" w:hAnsi="Arial" w:eastAsia="MS Mincho" w:cs="Arial"/>
                <w:sz w:val="15"/>
                <w:szCs w:val="15"/>
                <w:lang w:eastAsia="ja-JP"/>
              </w:rPr>
            </w:pPr>
            <w:r>
              <w:rPr>
                <w:rFonts w:ascii="Arial" w:hAnsi="Arial" w:eastAsia="MS Mincho" w:cs="Arial"/>
                <w:sz w:val="15"/>
                <w:szCs w:val="15"/>
                <w:lang w:eastAsia="ja-JP"/>
              </w:rPr>
              <w:t>UE-&gt; gNB-&gt;OAM -&gt; Server for data collection for UE-side model training/OTT server</w:t>
            </w:r>
          </w:p>
          <w:p>
            <w:pPr>
              <w:overflowPunct w:val="0"/>
              <w:autoSpaceDE w:val="0"/>
              <w:autoSpaceDN w:val="0"/>
              <w:adjustRightInd w:val="0"/>
              <w:spacing w:after="0"/>
              <w:ind w:left="360" w:hanging="360"/>
              <w:textAlignment w:val="baseline"/>
              <w:rPr>
                <w:rFonts w:ascii="Arial" w:hAnsi="Arial" w:eastAsia="MS Mincho" w:cs="Arial"/>
                <w:sz w:val="15"/>
                <w:szCs w:val="15"/>
                <w:lang w:eastAsia="ja-JP"/>
              </w:rPr>
            </w:pPr>
            <w:r>
              <w:rPr>
                <w:rFonts w:ascii="Arial" w:hAnsi="Arial" w:eastAsia="MS Mincho" w:cs="Arial"/>
                <w:sz w:val="15"/>
                <w:szCs w:val="15"/>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UP/CP tunnel</w:t>
            </w:r>
          </w:p>
        </w:tc>
        <w:tc>
          <w:tcPr>
            <w:tcW w:w="2500" w:type="pct"/>
          </w:tcPr>
          <w:p>
            <w:pPr>
              <w:rPr>
                <w:rFonts w:ascii="Arial" w:hAnsi="Arial" w:eastAsia="MS Mincho" w:cs="Arial"/>
                <w:sz w:val="15"/>
                <w:szCs w:val="15"/>
                <w:lang w:eastAsia="ja-JP"/>
              </w:rPr>
            </w:pPr>
            <w:r>
              <w:rPr>
                <w:rFonts w:ascii="Arial" w:hAnsi="Arial" w:eastAsia="MS Mincho" w:cs="Arial"/>
                <w:sz w:val="15"/>
                <w:szCs w:val="15"/>
                <w:lang w:eastAsia="ja-JP"/>
              </w:rPr>
              <w:t>CP tunnel (provided that the data volume remains within the RRC signalling capacity)</w:t>
            </w:r>
          </w:p>
          <w:p>
            <w:pPr>
              <w:overflowPunct w:val="0"/>
              <w:autoSpaceDE w:val="0"/>
              <w:autoSpaceDN w:val="0"/>
              <w:adjustRightInd w:val="0"/>
              <w:spacing w:after="0"/>
              <w:ind w:left="360" w:hanging="360"/>
              <w:textAlignment w:val="baseline"/>
              <w:rPr>
                <w:rFonts w:ascii="Arial" w:hAnsi="Arial" w:eastAsia="MS Mincho" w:cs="Arial"/>
                <w:sz w:val="15"/>
                <w:szCs w:val="15"/>
                <w:lang w:eastAsia="en-GB"/>
              </w:rPr>
            </w:pPr>
            <w:r>
              <w:rPr>
                <w:rFonts w:ascii="Arial" w:hAnsi="Arial" w:eastAsia="MS Mincho" w:cs="Arial"/>
                <w:sz w:val="15"/>
                <w:szCs w:val="15"/>
                <w:highlight w:val="green"/>
                <w:lang w:eastAsia="ja-JP"/>
              </w:rPr>
              <w:t>FFS: UP tunnel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Protocol layer for data transfer</w:t>
            </w:r>
          </w:p>
        </w:tc>
        <w:tc>
          <w:tcPr>
            <w:tcW w:w="2500" w:type="pct"/>
          </w:tcPr>
          <w:p>
            <w:pPr>
              <w:rPr>
                <w:rFonts w:ascii="Arial" w:hAnsi="Arial" w:eastAsia="MS Mincho" w:cs="Arial"/>
                <w:sz w:val="15"/>
                <w:szCs w:val="15"/>
                <w:lang w:eastAsia="ja-JP"/>
              </w:rPr>
            </w:pPr>
            <w:r>
              <w:rPr>
                <w:rFonts w:ascii="Arial" w:hAnsi="Arial" w:eastAsia="MS Mincho" w:cs="Arial"/>
                <w:sz w:val="15"/>
                <w:szCs w:val="15"/>
                <w:lang w:eastAsia="ja-JP"/>
              </w:rPr>
              <w:t>RRC layer for CP tunnel</w:t>
            </w:r>
          </w:p>
          <w:p>
            <w:pPr>
              <w:overflowPunct w:val="0"/>
              <w:autoSpaceDE w:val="0"/>
              <w:autoSpaceDN w:val="0"/>
              <w:adjustRightInd w:val="0"/>
              <w:spacing w:after="0"/>
              <w:ind w:left="360" w:hanging="360"/>
              <w:textAlignment w:val="baseline"/>
              <w:rPr>
                <w:rFonts w:ascii="Arial" w:hAnsi="Arial" w:eastAsia="MS Mincho" w:cs="Arial"/>
                <w:sz w:val="15"/>
                <w:szCs w:val="15"/>
                <w:lang w:eastAsia="en-GB"/>
              </w:rPr>
            </w:pPr>
            <w:r>
              <w:rPr>
                <w:rFonts w:ascii="Arial" w:hAnsi="Arial" w:eastAsia="MS Mincho" w:cs="Arial"/>
                <w:sz w:val="15"/>
                <w:szCs w:val="15"/>
                <w:highlight w:val="green"/>
                <w:lang w:eastAsia="ja-JP"/>
              </w:rPr>
              <w:t>FFS: the protocol layer for UP tunnel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Controllability of MNO on data transfer</w:t>
            </w:r>
          </w:p>
        </w:tc>
        <w:tc>
          <w:tcPr>
            <w:tcW w:w="2500" w:type="pct"/>
          </w:tcPr>
          <w:p>
            <w:pPr>
              <w:overflowPunct w:val="0"/>
              <w:autoSpaceDE w:val="0"/>
              <w:autoSpaceDN w:val="0"/>
              <w:adjustRightInd w:val="0"/>
              <w:spacing w:after="0"/>
              <w:ind w:left="360" w:hanging="360"/>
              <w:textAlignment w:val="baseline"/>
              <w:rPr>
                <w:rFonts w:ascii="Arial" w:hAnsi="Arial" w:eastAsia="MS Mincho" w:cs="Arial"/>
                <w:sz w:val="15"/>
                <w:szCs w:val="15"/>
                <w:lang w:eastAsia="ja-JP"/>
              </w:rPr>
            </w:pPr>
            <w:r>
              <w:rPr>
                <w:rFonts w:ascii="Arial" w:hAnsi="Arial" w:eastAsia="MS Mincho" w:cs="Arial"/>
                <w:sz w:val="15"/>
                <w:szCs w:val="15"/>
                <w:lang w:eastAsia="ja-JP"/>
              </w:rPr>
              <w:t>Full controllability</w:t>
            </w:r>
          </w:p>
          <w:p>
            <w:pPr>
              <w:overflowPunct w:val="0"/>
              <w:autoSpaceDE w:val="0"/>
              <w:autoSpaceDN w:val="0"/>
              <w:adjustRightInd w:val="0"/>
              <w:spacing w:after="0"/>
              <w:ind w:left="360" w:hanging="360"/>
              <w:textAlignment w:val="baseline"/>
              <w:rPr>
                <w:rFonts w:ascii="Arial" w:hAnsi="Arial" w:eastAsia="MS Mincho" w:cs="Arial"/>
                <w:sz w:val="15"/>
                <w:szCs w:val="15"/>
                <w:lang w:eastAsia="ja-JP"/>
              </w:rPr>
            </w:pPr>
          </w:p>
          <w:p>
            <w:pPr>
              <w:overflowPunct w:val="0"/>
              <w:autoSpaceDE w:val="0"/>
              <w:autoSpaceDN w:val="0"/>
              <w:adjustRightInd w:val="0"/>
              <w:spacing w:after="0"/>
              <w:ind w:left="360" w:hanging="360"/>
              <w:textAlignment w:val="baseline"/>
              <w:rPr>
                <w:rFonts w:ascii="Arial" w:hAnsi="Arial" w:eastAsia="MS Mincho" w:cs="Arial"/>
                <w:sz w:val="15"/>
                <w:szCs w:val="15"/>
                <w:lang w:eastAsia="en-GB"/>
              </w:rPr>
            </w:pPr>
            <w:r>
              <w:rPr>
                <w:rFonts w:ascii="Arial" w:hAnsi="Arial" w:eastAsia="MS Mincho" w:cs="Arial"/>
                <w:sz w:val="15"/>
                <w:szCs w:val="15"/>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Solution for network controllability</w:t>
            </w:r>
            <w:commentRangeStart w:id="12"/>
            <w:commentRangeStart w:id="13"/>
            <w:r>
              <w:rPr>
                <w:rStyle w:val="28"/>
                <w:rFonts w:eastAsia="宋体"/>
                <w:sz w:val="13"/>
                <w:szCs w:val="13"/>
              </w:rPr>
              <w:commentReference w:id="12"/>
            </w:r>
            <w:commentRangeEnd w:id="12"/>
            <w:commentRangeEnd w:id="13"/>
            <w:r>
              <w:rPr>
                <w:rStyle w:val="28"/>
                <w:rFonts w:eastAsia="宋体"/>
                <w:sz w:val="13"/>
                <w:szCs w:val="13"/>
              </w:rPr>
              <w:commentReference w:id="13"/>
            </w:r>
          </w:p>
        </w:tc>
        <w:tc>
          <w:tcPr>
            <w:tcW w:w="2500" w:type="pct"/>
          </w:tcPr>
          <w:p>
            <w:pPr>
              <w:overflowPunct w:val="0"/>
              <w:autoSpaceDE w:val="0"/>
              <w:autoSpaceDN w:val="0"/>
              <w:adjustRightInd w:val="0"/>
              <w:spacing w:after="0"/>
              <w:ind w:left="360" w:hanging="360"/>
              <w:textAlignment w:val="baseline"/>
              <w:rPr>
                <w:rFonts w:ascii="Arial" w:hAnsi="Arial" w:eastAsia="MS Mincho" w:cs="Arial"/>
                <w:sz w:val="15"/>
                <w:szCs w:val="15"/>
                <w:lang w:eastAsia="en-GB"/>
              </w:rPr>
            </w:pPr>
            <w:r>
              <w:rPr>
                <w:rFonts w:ascii="Arial" w:hAnsi="Arial" w:eastAsia="MS Mincho" w:cs="Arial"/>
                <w:sz w:val="15"/>
                <w:szCs w:val="15"/>
                <w:lang w:eastAsia="ja-JP"/>
              </w:rPr>
              <w:t>Via RRC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 xml:space="preserve">Possible Options for Visibility of data content in MNO and Data format (Note 2, Note 3) </w:t>
            </w:r>
          </w:p>
        </w:tc>
        <w:tc>
          <w:tcPr>
            <w:tcW w:w="2500" w:type="pct"/>
          </w:tcPr>
          <w:p>
            <w:pPr>
              <w:rPr>
                <w:rFonts w:ascii="Arial" w:hAnsi="Arial" w:eastAsia="MS Mincho" w:cs="Arial"/>
                <w:sz w:val="15"/>
                <w:szCs w:val="15"/>
                <w:lang w:eastAsia="ja-JP"/>
              </w:rPr>
            </w:pPr>
            <w:r>
              <w:rPr>
                <w:rFonts w:ascii="Arial" w:hAnsi="Arial" w:eastAsia="MS Mincho" w:cs="Arial"/>
                <w:sz w:val="15"/>
                <w:szCs w:val="15"/>
                <w:lang w:eastAsia="ja-JP"/>
              </w:rPr>
              <w:t>Opt A) Full visibility for standardized data content.</w:t>
            </w:r>
          </w:p>
          <w:p>
            <w:pPr>
              <w:rPr>
                <w:rFonts w:ascii="Arial" w:hAnsi="Arial" w:eastAsia="MS Mincho" w:cs="Arial"/>
                <w:sz w:val="15"/>
                <w:szCs w:val="15"/>
                <w:highlight w:val="none"/>
                <w:lang w:eastAsia="ja-JP"/>
              </w:rPr>
            </w:pPr>
            <w:r>
              <w:rPr>
                <w:rFonts w:ascii="Arial" w:hAnsi="Arial" w:eastAsia="MS Mincho" w:cs="Arial"/>
                <w:sz w:val="15"/>
                <w:szCs w:val="15"/>
                <w:highlight w:val="none"/>
                <w:lang w:eastAsia="ja-JP"/>
              </w:rPr>
              <w:t xml:space="preserve">FFS: Opt B) Partial visibility for partially standardized data content. </w:t>
            </w:r>
          </w:p>
          <w:p>
            <w:pPr>
              <w:rPr>
                <w:rFonts w:ascii="Arial" w:hAnsi="Arial" w:eastAsia="MS Mincho" w:cs="Arial"/>
                <w:kern w:val="2"/>
                <w:sz w:val="15"/>
                <w:szCs w:val="15"/>
                <w:highlight w:val="none"/>
                <w:lang w:eastAsia="ja-JP"/>
              </w:rPr>
            </w:pPr>
            <w:r>
              <w:rPr>
                <w:rFonts w:ascii="Arial" w:hAnsi="Arial" w:eastAsia="MS Mincho" w:cs="Arial"/>
                <w:kern w:val="2"/>
                <w:sz w:val="15"/>
                <w:szCs w:val="15"/>
                <w:highlight w:val="none"/>
                <w:lang w:eastAsia="ja-JP"/>
              </w:rPr>
              <w:t>FFS Opt C) No standardized visibility.</w:t>
            </w:r>
          </w:p>
          <w:p>
            <w:pPr>
              <w:rPr>
                <w:rFonts w:ascii="Arial" w:hAnsi="Arial" w:eastAsia="MS Mincho" w:cs="Arial"/>
                <w:sz w:val="15"/>
                <w:szCs w:val="15"/>
                <w:lang w:eastAsia="en-GB"/>
              </w:rPr>
            </w:pPr>
            <w:r>
              <w:rPr>
                <w:rFonts w:ascii="Arial" w:hAnsi="Arial" w:eastAsia="MS Mincho" w:cs="Arial"/>
                <w:sz w:val="15"/>
                <w:szCs w:val="15"/>
                <w:highlight w:val="none"/>
              </w:rPr>
              <w:t>FFS: meaning of ‘partial/partially’ and how to achieve different levels of visibility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shd w:val="clear" w:color="auto" w:fill="D8D8D8" w:themeFill="background1" w:themeFillShade="D9"/>
          </w:tcPr>
          <w:p>
            <w:pPr>
              <w:spacing w:after="0"/>
              <w:rPr>
                <w:rFonts w:ascii="Arial" w:hAnsi="Arial" w:eastAsia="MS Mincho" w:cs="Arial"/>
                <w:b/>
                <w:bCs/>
                <w:sz w:val="15"/>
                <w:szCs w:val="15"/>
                <w:lang w:eastAsia="en-GB"/>
              </w:rPr>
            </w:pPr>
            <w:r>
              <w:rPr>
                <w:rFonts w:ascii="Arial" w:hAnsi="Arial" w:eastAsia="MS Mincho" w:cs="Arial"/>
                <w:b/>
                <w:bCs/>
                <w:sz w:val="15"/>
                <w:szCs w:val="15"/>
                <w:lang w:eastAsia="en-GB"/>
              </w:rPr>
              <w:t>Involved WGs</w:t>
            </w:r>
          </w:p>
        </w:tc>
        <w:tc>
          <w:tcPr>
            <w:tcW w:w="2500" w:type="pct"/>
          </w:tcPr>
          <w:p>
            <w:pPr>
              <w:overflowPunct w:val="0"/>
              <w:autoSpaceDE w:val="0"/>
              <w:autoSpaceDN w:val="0"/>
              <w:adjustRightInd w:val="0"/>
              <w:spacing w:after="0"/>
              <w:ind w:left="360" w:hanging="360"/>
              <w:textAlignment w:val="baseline"/>
              <w:rPr>
                <w:rFonts w:ascii="Arial" w:hAnsi="Arial" w:eastAsia="MS Mincho" w:cs="Arial"/>
                <w:sz w:val="15"/>
                <w:szCs w:val="15"/>
                <w:lang w:val="fi-FI" w:eastAsia="ja-JP"/>
              </w:rPr>
            </w:pPr>
            <w:r>
              <w:rPr>
                <w:rFonts w:ascii="Arial" w:hAnsi="Arial" w:eastAsia="MS Mincho" w:cs="Arial"/>
                <w:sz w:val="15"/>
                <w:szCs w:val="15"/>
                <w:lang w:val="fi-FI" w:eastAsia="ja-JP"/>
              </w:rPr>
              <w:t xml:space="preserve">RAN2, RAN3, SA3, </w:t>
            </w:r>
          </w:p>
          <w:p>
            <w:pPr>
              <w:overflowPunct w:val="0"/>
              <w:autoSpaceDE w:val="0"/>
              <w:autoSpaceDN w:val="0"/>
              <w:adjustRightInd w:val="0"/>
              <w:spacing w:after="0"/>
              <w:ind w:left="360" w:hanging="360"/>
              <w:textAlignment w:val="baseline"/>
              <w:rPr>
                <w:rFonts w:ascii="Arial" w:hAnsi="Arial" w:eastAsia="MS Mincho" w:cs="Arial"/>
                <w:sz w:val="15"/>
                <w:szCs w:val="15"/>
                <w:lang w:val="fi-FI" w:eastAsia="ja-JP"/>
              </w:rPr>
            </w:pPr>
            <w:r>
              <w:rPr>
                <w:rFonts w:ascii="Arial" w:hAnsi="Arial" w:eastAsia="MS Mincho" w:cs="Arial"/>
                <w:sz w:val="15"/>
                <w:szCs w:val="15"/>
                <w:lang w:val="fi-FI" w:eastAsia="ja-JP"/>
              </w:rPr>
              <w:t>SA5, FFS SA2</w:t>
            </w:r>
          </w:p>
        </w:tc>
      </w:tr>
    </w:tbl>
    <w:p>
      <w:pPr>
        <w:rPr>
          <w:rFonts w:hint="eastAsia"/>
          <w:lang w:val="en-US" w:eastAsia="zh-CN"/>
        </w:rPr>
      </w:pPr>
      <w:r>
        <w:rPr>
          <w:rFonts w:hint="eastAsia"/>
          <w:lang w:val="en-US" w:eastAsia="zh-CN"/>
        </w:rPr>
        <w:t>In option 3, it can also be divided into two cases for discussion:</w:t>
      </w:r>
    </w:p>
    <w:p>
      <w:pPr>
        <w:numPr>
          <w:ilvl w:val="0"/>
          <w:numId w:val="16"/>
        </w:numPr>
        <w:ind w:left="420" w:leftChars="0" w:hanging="420" w:firstLineChars="0"/>
        <w:rPr>
          <w:rFonts w:hint="eastAsia"/>
          <w:lang w:val="en-US" w:eastAsia="zh-CN"/>
        </w:rPr>
      </w:pPr>
      <w:r>
        <w:rPr>
          <w:rFonts w:hint="eastAsia"/>
          <w:lang w:val="en-US" w:eastAsia="zh-CN"/>
        </w:rPr>
        <w:t>Case 1: The UE server is inside the MNO</w:t>
      </w:r>
    </w:p>
    <w:p>
      <w:pPr>
        <w:numPr>
          <w:ilvl w:val="0"/>
          <w:numId w:val="16"/>
        </w:numPr>
        <w:ind w:left="420" w:leftChars="0" w:hanging="420" w:firstLineChars="0"/>
        <w:rPr>
          <w:rFonts w:hint="eastAsia"/>
          <w:lang w:val="en-US" w:eastAsia="zh-CN"/>
        </w:rPr>
      </w:pPr>
      <w:r>
        <w:rPr>
          <w:rFonts w:hint="eastAsia"/>
          <w:lang w:val="en-US" w:eastAsia="zh-CN"/>
        </w:rPr>
        <w:t>Case 2: The UE server is outside the MNO</w:t>
      </w:r>
    </w:p>
    <w:p>
      <w:pPr>
        <w:rPr>
          <w:rFonts w:hint="eastAsia"/>
          <w:lang w:val="en-US" w:eastAsia="zh-CN"/>
        </w:rPr>
      </w:pPr>
      <w:r>
        <w:rPr>
          <w:rFonts w:hint="eastAsia"/>
          <w:lang w:val="en-US" w:eastAsia="zh-CN"/>
        </w:rPr>
        <w:t>In case 1, given that the UE server is inside the MNO, the communication between OAM and UE server can be reached by the existed framework via MDAMF and NEF, that is, NWDAF collect the data from OAM via MDAF, and then AF collect the data from NWDAF via NEF, please see below:</w:t>
      </w:r>
    </w:p>
    <w:p>
      <w:r>
        <w:drawing>
          <wp:inline distT="0" distB="0" distL="114300" distR="114300">
            <wp:extent cx="2802890" cy="1829435"/>
            <wp:effectExtent l="0" t="0" r="0" b="1841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2802890" cy="1829435"/>
                    </a:xfrm>
                    <a:prstGeom prst="rect">
                      <a:avLst/>
                    </a:prstGeom>
                    <a:noFill/>
                    <a:ln>
                      <a:noFill/>
                    </a:ln>
                  </pic:spPr>
                </pic:pic>
              </a:graphicData>
            </a:graphic>
          </wp:inline>
        </w:drawing>
      </w:r>
      <w:r>
        <w:drawing>
          <wp:inline distT="0" distB="0" distL="114300" distR="114300">
            <wp:extent cx="3122930" cy="191643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3"/>
                    <a:stretch>
                      <a:fillRect/>
                    </a:stretch>
                  </pic:blipFill>
                  <pic:spPr>
                    <a:xfrm>
                      <a:off x="0" y="0"/>
                      <a:ext cx="3122930" cy="1916430"/>
                    </a:xfrm>
                    <a:prstGeom prst="rect">
                      <a:avLst/>
                    </a:prstGeom>
                    <a:noFill/>
                    <a:ln>
                      <a:noFill/>
                    </a:ln>
                  </pic:spPr>
                </pic:pic>
              </a:graphicData>
            </a:graphic>
          </wp:inline>
        </w:drawing>
      </w:r>
    </w:p>
    <w:p>
      <w:pPr>
        <w:rPr>
          <w:rFonts w:hint="default" w:eastAsia="宋体"/>
          <w:lang w:val="en-US" w:eastAsia="zh-CN"/>
        </w:rPr>
      </w:pPr>
      <w:r>
        <w:rPr>
          <w:rFonts w:hint="eastAsia" w:eastAsia="宋体"/>
          <w:lang w:val="en-US" w:eastAsia="zh-CN"/>
        </w:rPr>
        <w:t>These two frameworks are done via the CP tunnel, the availability of the UP tunnel may need to be further discussed in SA group.</w:t>
      </w:r>
    </w:p>
    <w:p>
      <w:pPr>
        <w:rPr>
          <w:rFonts w:hint="default"/>
          <w:lang w:val="en-US" w:eastAsia="zh-CN"/>
        </w:rPr>
      </w:pPr>
      <w:r>
        <w:rPr>
          <w:rFonts w:hint="eastAsia"/>
          <w:lang w:val="en-US" w:eastAsia="zh-CN"/>
        </w:rPr>
        <w:t>In case 2, given that the UE server is outside the MNO, It is hard for OAM to communicate with the UE server that is located outside of the MNO via CP tunnel, then it can be assumed to use the normal UP data for the communication between OAM and OTT server.</w:t>
      </w:r>
    </w:p>
    <w:p>
      <w:pPr>
        <w:rPr>
          <w:rFonts w:hint="eastAsia"/>
          <w:lang w:val="en-US" w:eastAsia="zh-CN"/>
        </w:rPr>
      </w:pPr>
      <w:r>
        <w:rPr>
          <w:rFonts w:hint="eastAsia"/>
          <w:lang w:val="en-US" w:eastAsia="zh-CN"/>
        </w:rPr>
        <w:t>Consider above two cases in combination, we propose:</w:t>
      </w:r>
    </w:p>
    <w:p>
      <w:pPr>
        <w:pStyle w:val="31"/>
        <w:bidi w:val="0"/>
        <w:rPr>
          <w:rFonts w:hint="default"/>
          <w:lang w:val="en-US" w:eastAsia="zh-CN"/>
        </w:rPr>
      </w:pPr>
      <w:bookmarkStart w:id="8" w:name="_Toc6050"/>
      <w:r>
        <w:rPr>
          <w:rFonts w:hint="eastAsia"/>
          <w:i w:val="0"/>
          <w:iCs w:val="0"/>
          <w:lang w:val="en-US" w:eastAsia="zh-CN"/>
        </w:rPr>
        <w:t>RAN2 assume the UP tunnel can be used for the communication between OAM and OTT server (e.g. the UE server outside of MNO)</w:t>
      </w:r>
      <w:bookmarkEnd w:id="8"/>
    </w:p>
    <w:p>
      <w:pPr>
        <w:pStyle w:val="31"/>
        <w:bidi w:val="0"/>
        <w:rPr>
          <w:rFonts w:hint="default"/>
          <w:lang w:val="en-US" w:eastAsia="zh-CN"/>
        </w:rPr>
      </w:pPr>
      <w:bookmarkStart w:id="9" w:name="_Toc20599"/>
      <w:r>
        <w:rPr>
          <w:rFonts w:hint="eastAsia"/>
          <w:i w:val="0"/>
          <w:iCs w:val="0"/>
          <w:lang w:val="en-US" w:eastAsia="zh-CN"/>
        </w:rPr>
        <w:t>RAN2 assumes the NAS layer may be impact by the communication between OAM and UE server for data collection (e.g. the UE server inside the MNO)</w:t>
      </w:r>
      <w:bookmarkEnd w:id="9"/>
    </w:p>
    <w:p>
      <w:pPr>
        <w:bidi w:val="0"/>
        <w:rPr>
          <w:rFonts w:hint="default"/>
          <w:lang w:val="en-US" w:eastAsia="zh-CN"/>
        </w:rPr>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sz w:val="21"/>
          <w:szCs w:val="21"/>
        </w:rPr>
      </w:pPr>
      <w:r>
        <w:rPr>
          <w:rFonts w:eastAsia="微软雅黑"/>
          <w:sz w:val="21"/>
          <w:szCs w:val="21"/>
        </w:rPr>
        <w:t xml:space="preserve">In this contribution, we provide our views on the </w:t>
      </w:r>
      <w:r>
        <w:rPr>
          <w:rFonts w:hint="eastAsia" w:eastAsia="微软雅黑"/>
          <w:sz w:val="21"/>
          <w:szCs w:val="21"/>
        </w:rPr>
        <w:t xml:space="preserve">harmonize the 2TA into the LTM </w:t>
      </w:r>
      <w:r>
        <w:rPr>
          <w:rFonts w:eastAsia="微软雅黑"/>
          <w:sz w:val="21"/>
          <w:szCs w:val="21"/>
        </w:rPr>
        <w:t>. We have the following observations and proposals:</w:t>
      </w:r>
    </w:p>
    <w:p>
      <w:pPr>
        <w:snapToGrid w:val="0"/>
        <w:spacing w:before="72" w:beforeLines="30" w:after="72" w:afterLines="30" w:line="288" w:lineRule="auto"/>
        <w:rPr>
          <w:szCs w:val="21"/>
          <w:highlight w:val="yellow"/>
        </w:rPr>
      </w:pPr>
      <w:r>
        <w:rPr>
          <w:b/>
          <w:i/>
          <w:sz w:val="21"/>
          <w:szCs w:val="21"/>
          <w:highlight w:val="yellow"/>
        </w:rPr>
        <w:fldChar w:fldCharType="begin"/>
      </w:r>
      <w:r>
        <w:rPr>
          <w:sz w:val="21"/>
          <w:szCs w:val="21"/>
          <w:highlight w:val="yellow"/>
        </w:rPr>
        <w:instrText xml:space="preserve">TOC \n  \t "!ZTE-Observation-2021,1,sub-observation,2,3rd level observation,3" \h</w:instrText>
      </w:r>
      <w:r>
        <w:rPr>
          <w:b/>
          <w:i/>
          <w:sz w:val="21"/>
          <w:szCs w:val="21"/>
          <w:highlight w:val="yellow"/>
        </w:rPr>
        <w:fldChar w:fldCharType="separate"/>
      </w:r>
      <w:r>
        <w:rPr>
          <w:rFonts w:hint="eastAsia" w:eastAsia="宋体"/>
          <w:bCs/>
          <w:i/>
          <w:sz w:val="21"/>
          <w:szCs w:val="21"/>
          <w:highlight w:val="yellow"/>
        </w:rPr>
        <w:t>未找到目录项。</w:t>
      </w:r>
      <w:r>
        <w:rPr>
          <w:szCs w:val="21"/>
          <w:highlight w:val="yellow"/>
        </w:rPr>
        <w:fldChar w:fldCharType="end"/>
      </w:r>
    </w:p>
    <w:p>
      <w:pPr>
        <w:snapToGrid w:val="0"/>
        <w:spacing w:before="72" w:beforeLines="30" w:after="72" w:afterLines="30" w:line="288" w:lineRule="auto"/>
        <w:rPr>
          <w:rFonts w:hint="default" w:eastAsia="宋体"/>
          <w:szCs w:val="21"/>
          <w:highlight w:val="yellow"/>
          <w:lang w:val="en-US" w:eastAsia="zh-CN"/>
        </w:rPr>
      </w:pPr>
      <w:bookmarkStart w:id="10" w:name="OLE_LINK1"/>
      <w:r>
        <w:rPr>
          <w:rFonts w:hint="eastAsia" w:eastAsia="宋体"/>
          <w:szCs w:val="21"/>
          <w:highlight w:val="yellow"/>
          <w:lang w:val="en-US" w:eastAsia="zh-CN"/>
        </w:rPr>
        <w:t>Option 1A</w:t>
      </w:r>
    </w:p>
    <w:bookmarkEnd w:id="10"/>
    <w:p>
      <w:pPr>
        <w:pStyle w:val="17"/>
        <w:tabs>
          <w:tab w:val="right" w:leader="dot" w:pos="9660"/>
        </w:tabs>
      </w:pPr>
      <w:r>
        <w:rPr>
          <w:b/>
          <w:i/>
          <w:sz w:val="21"/>
          <w:szCs w:val="21"/>
          <w:highlight w:val="yellow"/>
        </w:rPr>
        <w:fldChar w:fldCharType="begin"/>
      </w:r>
      <w:r>
        <w:rPr>
          <w:sz w:val="21"/>
          <w:szCs w:val="21"/>
          <w:highlight w:val="yellow"/>
        </w:rPr>
        <w:instrText xml:space="preserve">TOC \n  \t "!ZTE-Proposal-2021 + 段前: 0.5 行 段后: 0.5 行,1,sub-proposal,2,3rd level proposal,3" \h</w:instrText>
      </w:r>
      <w:r>
        <w:rPr>
          <w:b/>
          <w:i/>
          <w:sz w:val="21"/>
          <w:szCs w:val="21"/>
          <w:highlight w:val="yellow"/>
        </w:rPr>
        <w:fldChar w:fldCharType="separate"/>
      </w:r>
      <w:r>
        <w:rPr>
          <w:i/>
          <w:szCs w:val="21"/>
          <w:highlight w:val="yellow"/>
        </w:rPr>
        <w:fldChar w:fldCharType="begin"/>
      </w:r>
      <w:r>
        <w:rPr>
          <w:i/>
          <w:szCs w:val="21"/>
          <w:highlight w:val="yellow"/>
        </w:rPr>
        <w:instrText xml:space="preserve"> HYPERLINK \l _Toc26378 </w:instrText>
      </w:r>
      <w:r>
        <w:rPr>
          <w:i/>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1: </w:t>
      </w:r>
      <w:r>
        <w:rPr>
          <w:rFonts w:hint="eastAsia"/>
          <w:i w:val="0"/>
          <w:iCs w:val="0"/>
          <w:lang w:val="en-US" w:eastAsia="zh-CN"/>
        </w:rPr>
        <w:t>For UE side data collection for model training, the option 1a, that UE collects data and directly transfers the collected data to the OTT server, is a recommended solution from RAN2 perspective.</w:t>
      </w:r>
      <w:r>
        <w:rPr>
          <w:i/>
          <w:szCs w:val="21"/>
          <w:highlight w:val="yellow"/>
        </w:rPr>
        <w:fldChar w:fldCharType="end"/>
      </w:r>
    </w:p>
    <w:p>
      <w:pPr>
        <w:pStyle w:val="17"/>
        <w:tabs>
          <w:tab w:val="right" w:leader="dot" w:pos="9660"/>
        </w:tabs>
      </w:pPr>
      <w:r>
        <w:rPr>
          <w:szCs w:val="21"/>
          <w:highlight w:val="yellow"/>
        </w:rPr>
        <w:fldChar w:fldCharType="begin"/>
      </w:r>
      <w:r>
        <w:rPr>
          <w:szCs w:val="21"/>
          <w:highlight w:val="yellow"/>
        </w:rPr>
        <w:instrText xml:space="preserve"> HYPERLINK \l _Toc22240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2: </w:t>
      </w:r>
      <w:r>
        <w:rPr>
          <w:rFonts w:hint="eastAsia"/>
          <w:i w:val="0"/>
          <w:iCs w:val="0"/>
          <w:lang w:val="en-US" w:eastAsia="zh-CN"/>
        </w:rPr>
        <w:t xml:space="preserve">For option 1b, remove the FFS: level of controllability, add a note for the </w:t>
      </w:r>
      <w:r>
        <w:rPr>
          <w:rFonts w:hint="default"/>
          <w:i w:val="0"/>
          <w:iCs w:val="0"/>
          <w:lang w:val="en-US" w:eastAsia="zh-CN"/>
        </w:rPr>
        <w:t>‘</w:t>
      </w:r>
      <w:r>
        <w:rPr>
          <w:rFonts w:hint="eastAsia"/>
          <w:i w:val="0"/>
          <w:iCs w:val="0"/>
          <w:lang w:val="en-US" w:eastAsia="zh-CN"/>
        </w:rPr>
        <w:t>controllability can be achieved</w:t>
      </w:r>
      <w:r>
        <w:rPr>
          <w:rFonts w:hint="default"/>
          <w:i w:val="0"/>
          <w:iCs w:val="0"/>
          <w:lang w:val="en-US" w:eastAsia="zh-CN"/>
        </w:rPr>
        <w:t>’</w:t>
      </w:r>
      <w:r>
        <w:rPr>
          <w:rFonts w:hint="eastAsia"/>
          <w:i w:val="0"/>
          <w:iCs w:val="0"/>
          <w:lang w:val="en-US" w:eastAsia="zh-CN"/>
        </w:rPr>
        <w:t xml:space="preserve"> that the full controllability or non-controllability depends on where the server is (e.g. inside of MNO or outside of MNO)</w:t>
      </w:r>
      <w:r>
        <w:rPr>
          <w:szCs w:val="21"/>
          <w:highlight w:val="yellow"/>
        </w:rPr>
        <w:fldChar w:fldCharType="end"/>
      </w:r>
    </w:p>
    <w:p>
      <w:pPr>
        <w:pStyle w:val="17"/>
        <w:tabs>
          <w:tab w:val="right" w:leader="dot" w:pos="9660"/>
        </w:tabs>
      </w:pPr>
      <w:r>
        <w:rPr>
          <w:szCs w:val="21"/>
          <w:highlight w:val="yellow"/>
        </w:rPr>
        <w:fldChar w:fldCharType="begin"/>
      </w:r>
      <w:r>
        <w:rPr>
          <w:szCs w:val="21"/>
          <w:highlight w:val="yellow"/>
        </w:rPr>
        <w:instrText xml:space="preserve"> HYPERLINK \l _Toc7439 </w:instrText>
      </w:r>
      <w:r>
        <w:rPr>
          <w:szCs w:val="21"/>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3: </w:t>
      </w:r>
      <w:r>
        <w:rPr>
          <w:rFonts w:hint="eastAsia"/>
          <w:i w:val="0"/>
          <w:iCs w:val="0"/>
          <w:lang w:val="en-US" w:eastAsia="zh-CN"/>
        </w:rPr>
        <w:t>For option 1b, the full data visibility to the MNO shall be achieved if the UE server inside the MNO, and the data invisibility to the MNO for the case of UE server outside the MNO.</w:t>
      </w:r>
      <w:r>
        <w:rPr>
          <w:szCs w:val="21"/>
          <w:highlight w:val="yellow"/>
        </w:rPr>
        <w:fldChar w:fldCharType="end"/>
      </w:r>
    </w:p>
    <w:p>
      <w:pPr>
        <w:pStyle w:val="17"/>
        <w:tabs>
          <w:tab w:val="right" w:leader="dot" w:pos="9660"/>
        </w:tabs>
      </w:pPr>
      <w:r>
        <w:rPr>
          <w:szCs w:val="21"/>
          <w:highlight w:val="yellow"/>
        </w:rPr>
        <w:fldChar w:fldCharType="begin"/>
      </w:r>
      <w:r>
        <w:rPr>
          <w:szCs w:val="21"/>
          <w:highlight w:val="yellow"/>
        </w:rPr>
        <w:instrText xml:space="preserve"> HYPERLINK \l _Toc22815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4: </w:t>
      </w:r>
      <w:r>
        <w:rPr>
          <w:rFonts w:hint="eastAsia"/>
          <w:i w:val="0"/>
          <w:iCs w:val="0"/>
          <w:lang w:val="en-US" w:eastAsia="zh-CN"/>
        </w:rPr>
        <w:t>For option 1b, RAN2 assumes there is specification impact of option 1b if the UE server is located inside of the MNO, and there is no any specification impact of option 1b if the UE server is located outside of the MNO.</w:t>
      </w:r>
      <w:r>
        <w:rPr>
          <w:szCs w:val="21"/>
          <w:highlight w:val="yellow"/>
        </w:rPr>
        <w:fldChar w:fldCharType="end"/>
      </w:r>
    </w:p>
    <w:p>
      <w:pPr>
        <w:pStyle w:val="17"/>
        <w:tabs>
          <w:tab w:val="right" w:leader="dot" w:pos="9660"/>
        </w:tabs>
      </w:pPr>
      <w:r>
        <w:rPr>
          <w:szCs w:val="21"/>
          <w:highlight w:val="yellow"/>
        </w:rPr>
        <w:fldChar w:fldCharType="begin"/>
      </w:r>
      <w:r>
        <w:rPr>
          <w:szCs w:val="21"/>
          <w:highlight w:val="yellow"/>
        </w:rPr>
        <w:instrText xml:space="preserve"> HYPERLINK \l _Toc18945 </w:instrText>
      </w:r>
      <w:r>
        <w:rPr>
          <w:szCs w:val="21"/>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5: </w:t>
      </w:r>
      <w:r>
        <w:rPr>
          <w:rFonts w:hint="eastAsia"/>
          <w:i w:val="0"/>
          <w:iCs w:val="0"/>
          <w:lang w:val="en-US" w:eastAsia="zh-CN"/>
        </w:rPr>
        <w:t>For AI/ML-specific data transfer path in option 2, remove the OTT server from the path.</w:t>
      </w:r>
      <w:r>
        <w:rPr>
          <w:szCs w:val="21"/>
          <w:highlight w:val="yellow"/>
        </w:rPr>
        <w:fldChar w:fldCharType="end"/>
      </w:r>
    </w:p>
    <w:p>
      <w:pPr>
        <w:pStyle w:val="17"/>
        <w:tabs>
          <w:tab w:val="right" w:leader="dot" w:pos="9660"/>
        </w:tabs>
      </w:pPr>
      <w:r>
        <w:rPr>
          <w:szCs w:val="21"/>
          <w:highlight w:val="yellow"/>
        </w:rPr>
        <w:fldChar w:fldCharType="begin"/>
      </w:r>
      <w:r>
        <w:rPr>
          <w:szCs w:val="21"/>
          <w:highlight w:val="yellow"/>
        </w:rPr>
        <w:instrText xml:space="preserve"> HYPERLINK \l _Toc21848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6: </w:t>
      </w:r>
      <w:r>
        <w:rPr>
          <w:rFonts w:hint="eastAsia"/>
          <w:i w:val="0"/>
          <w:iCs w:val="0"/>
          <w:lang w:val="en-US" w:eastAsia="zh-CN"/>
        </w:rPr>
        <w:t>For option 2, RAN2 assumes UP tunnel based solution can be taken into account for transferring the data from UE to the UE server inside the MNO, and the solution design is up to CT/SA group which shall consider the UE data privacy.</w:t>
      </w:r>
      <w:r>
        <w:rPr>
          <w:szCs w:val="21"/>
          <w:highlight w:val="yellow"/>
        </w:rPr>
        <w:fldChar w:fldCharType="end"/>
      </w:r>
    </w:p>
    <w:p>
      <w:pPr>
        <w:pStyle w:val="17"/>
        <w:tabs>
          <w:tab w:val="right" w:leader="dot" w:pos="9660"/>
        </w:tabs>
      </w:pPr>
      <w:r>
        <w:rPr>
          <w:szCs w:val="21"/>
          <w:highlight w:val="yellow"/>
        </w:rPr>
        <w:fldChar w:fldCharType="begin"/>
      </w:r>
      <w:r>
        <w:rPr>
          <w:szCs w:val="21"/>
          <w:highlight w:val="yellow"/>
        </w:rPr>
        <w:instrText xml:space="preserve"> HYPERLINK \l _Toc29135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7: </w:t>
      </w:r>
      <w:r>
        <w:rPr>
          <w:rFonts w:hint="eastAsia"/>
          <w:i w:val="0"/>
          <w:iCs w:val="0"/>
          <w:lang w:val="en-US" w:eastAsia="zh-CN"/>
        </w:rPr>
        <w:t>RAN2 assumes there is specification impact of option 2, and the impact layer of option 2 is NAS layer.</w:t>
      </w:r>
      <w:r>
        <w:rPr>
          <w:szCs w:val="21"/>
          <w:highlight w:val="yellow"/>
        </w:rPr>
        <w:fldChar w:fldCharType="end"/>
      </w:r>
    </w:p>
    <w:p>
      <w:pPr>
        <w:pStyle w:val="17"/>
        <w:tabs>
          <w:tab w:val="right" w:leader="dot" w:pos="9660"/>
        </w:tabs>
      </w:pPr>
      <w:r>
        <w:rPr>
          <w:szCs w:val="21"/>
          <w:highlight w:val="yellow"/>
        </w:rPr>
        <w:fldChar w:fldCharType="begin"/>
      </w:r>
      <w:r>
        <w:rPr>
          <w:szCs w:val="21"/>
          <w:highlight w:val="yellow"/>
        </w:rPr>
        <w:instrText xml:space="preserve"> HYPERLINK \l _Toc6050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8: </w:t>
      </w:r>
      <w:r>
        <w:rPr>
          <w:rFonts w:hint="eastAsia"/>
          <w:i w:val="0"/>
          <w:iCs w:val="0"/>
          <w:lang w:val="en-US" w:eastAsia="zh-CN"/>
        </w:rPr>
        <w:t>RAN2 assume the UP tunnel can be used for the communication between OAM and OTT server (e.g. the UE server outside of MNO)</w:t>
      </w:r>
      <w:r>
        <w:rPr>
          <w:szCs w:val="21"/>
          <w:highlight w:val="yellow"/>
        </w:rPr>
        <w:fldChar w:fldCharType="end"/>
      </w:r>
    </w:p>
    <w:p>
      <w:pPr>
        <w:pStyle w:val="17"/>
        <w:tabs>
          <w:tab w:val="right" w:leader="dot" w:pos="9660"/>
        </w:tabs>
      </w:pPr>
      <w:r>
        <w:rPr>
          <w:szCs w:val="21"/>
          <w:highlight w:val="yellow"/>
        </w:rPr>
        <w:fldChar w:fldCharType="begin"/>
      </w:r>
      <w:r>
        <w:rPr>
          <w:szCs w:val="21"/>
          <w:highlight w:val="yellow"/>
        </w:rPr>
        <w:instrText xml:space="preserve"> HYPERLINK \l _Toc20599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9: </w:t>
      </w:r>
      <w:r>
        <w:rPr>
          <w:rFonts w:hint="eastAsia"/>
          <w:i w:val="0"/>
          <w:iCs w:val="0"/>
          <w:lang w:val="en-US" w:eastAsia="zh-CN"/>
        </w:rPr>
        <w:t>RAN2 assumes the NAS layer may be impact by the communication between OAM and UE server for data collection (e.g. the UE server inside the MNO)</w:t>
      </w:r>
      <w:r>
        <w:rPr>
          <w:szCs w:val="21"/>
          <w:highlight w:val="yellow"/>
        </w:rPr>
        <w:fldChar w:fldCharType="end"/>
      </w:r>
    </w:p>
    <w:p>
      <w:pPr>
        <w:spacing w:before="72" w:beforeLines="30" w:after="72" w:afterLines="30" w:line="288" w:lineRule="auto"/>
        <w:rPr>
          <w:rFonts w:eastAsiaTheme="minorEastAsia"/>
        </w:rPr>
      </w:pPr>
      <w:r>
        <w:rPr>
          <w:szCs w:val="21"/>
          <w:highlight w:val="yellow"/>
        </w:rPr>
        <w:fldChar w:fldCharType="end"/>
      </w:r>
    </w:p>
    <w:p>
      <w:pPr>
        <w:pStyle w:val="2"/>
        <w:spacing w:before="72" w:beforeLines="30" w:after="72" w:afterLines="30" w:line="288" w:lineRule="auto"/>
        <w:rPr>
          <w:rFonts w:eastAsia="宋体"/>
        </w:rPr>
      </w:pPr>
      <w:r>
        <w:rPr>
          <w:rFonts w:hint="eastAsia" w:eastAsia="宋体"/>
        </w:rPr>
        <w:t>Reference</w:t>
      </w:r>
      <w:r>
        <w:rPr>
          <w:rFonts w:eastAsia="宋体"/>
        </w:rPr>
        <w:t>s</w:t>
      </w:r>
    </w:p>
    <w:p>
      <w:pPr>
        <w:numPr>
          <w:ilvl w:val="0"/>
          <w:numId w:val="17"/>
        </w:numPr>
        <w:spacing w:before="120" w:after="120"/>
        <w:rPr>
          <w:rFonts w:eastAsiaTheme="minorEastAsia"/>
        </w:rPr>
      </w:pPr>
      <w:r>
        <w:rPr>
          <w:rFonts w:eastAsiaTheme="minorEastAsia"/>
        </w:rPr>
        <w:t>TR 38.843</w:t>
      </w:r>
    </w:p>
    <w:p>
      <w:pPr>
        <w:spacing w:before="120" w:after="120"/>
      </w:pPr>
      <w:r>
        <w:rPr>
          <w:rFonts w:eastAsiaTheme="minorEastAsia"/>
        </w:rPr>
        <w:t xml:space="preserve">[2] </w:t>
      </w:r>
      <w:r>
        <w:rPr>
          <w:rFonts w:eastAsiaTheme="minorEastAsia"/>
        </w:rPr>
        <w:tab/>
      </w:r>
      <w:r>
        <w:rPr>
          <w:rFonts w:eastAsiaTheme="minorEastAsia"/>
        </w:rPr>
        <w:t>[POST125bis][020][AIML PHY] UE side data collection (Mediatek)</w:t>
      </w:r>
    </w:p>
    <w:p>
      <w:pPr>
        <w:spacing w:before="120" w:after="120"/>
        <w:rPr>
          <w:rFonts w:eastAsiaTheme="minorEastAsia"/>
        </w:rPr>
        <w:sectPr>
          <w:headerReference r:id="rId7" w:type="first"/>
          <w:footerReference r:id="rId10" w:type="first"/>
          <w:footerReference r:id="rId8" w:type="default"/>
          <w:headerReference r:id="rId6" w:type="even"/>
          <w:footerReference r:id="rId9" w:type="even"/>
          <w:pgSz w:w="12240" w:h="15840"/>
          <w:pgMar w:top="1440" w:right="1202" w:bottom="1440" w:left="1378" w:header="720" w:footer="720" w:gutter="0"/>
          <w:cols w:space="720" w:num="1"/>
          <w:docGrid w:linePitch="272" w:charSpace="0"/>
        </w:sect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sectPr>
      <w:pgSz w:w="12240" w:h="15840"/>
      <w:pgMar w:top="1440" w:right="1202" w:bottom="1440" w:left="1378" w:header="720" w:footer="720"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amsung (Seung-Beom)" w:date="2024-06-28T10:29:00Z" w:initials="SS">
    <w:p w14:paraId="152D4805">
      <w:pPr>
        <w:pStyle w:val="11"/>
        <w:rPr>
          <w:rFonts w:eastAsiaTheme="minorEastAsia"/>
          <w:lang w:eastAsia="ko-KR"/>
        </w:rPr>
      </w:pPr>
      <w:r>
        <w:rPr>
          <w:rFonts w:eastAsiaTheme="minorEastAsia"/>
          <w:lang w:eastAsia="ko-KR"/>
        </w:rPr>
        <w:t xml:space="preserve">Propose to update to “impact”, according to the following RAN2 agreement: </w:t>
      </w:r>
      <w:r>
        <w:rPr>
          <w:rFonts w:eastAsiaTheme="minorEastAsia"/>
          <w:i/>
          <w:lang w:eastAsia="ko-KR"/>
        </w:rPr>
        <w:t>Solution 1a has no specification impact</w:t>
      </w:r>
      <w:r>
        <w:rPr>
          <w:rFonts w:eastAsiaTheme="minorEastAsia"/>
          <w:lang w:eastAsia="ko-KR"/>
        </w:rPr>
        <w:t>.</w:t>
      </w:r>
    </w:p>
    <w:p w14:paraId="08620F4B">
      <w:pPr>
        <w:pStyle w:val="11"/>
        <w:rPr>
          <w:rFonts w:eastAsiaTheme="minorEastAsia"/>
          <w:lang w:eastAsia="ko-KR"/>
        </w:rPr>
      </w:pPr>
    </w:p>
    <w:p w14:paraId="5301023B">
      <w:pPr>
        <w:pStyle w:val="11"/>
        <w:rPr>
          <w:rFonts w:eastAsiaTheme="minorEastAsia"/>
          <w:lang w:eastAsia="ko-KR"/>
        </w:rPr>
      </w:pPr>
      <w:r>
        <w:rPr>
          <w:rFonts w:hint="eastAsia" w:eastAsiaTheme="minorEastAsia"/>
          <w:lang w:eastAsia="ko-KR"/>
        </w:rPr>
        <w:t>This</w:t>
      </w:r>
      <w:r>
        <w:rPr>
          <w:rFonts w:eastAsiaTheme="minorEastAsia"/>
          <w:lang w:eastAsia="ko-KR"/>
        </w:rPr>
        <w:t xml:space="preserve"> update</w:t>
      </w:r>
      <w:r>
        <w:rPr>
          <w:rFonts w:hint="eastAsia" w:eastAsiaTheme="minorEastAsia"/>
          <w:lang w:eastAsia="ko-KR"/>
        </w:rPr>
        <w:t xml:space="preserve"> can be appied for the other options as well.</w:t>
      </w:r>
    </w:p>
  </w:comment>
  <w:comment w:id="1" w:author="Ericsson" w:date="2024-07-04T14:15:00Z" w:initials="Ericsson">
    <w:p w14:paraId="66E31CAC">
      <w:pPr>
        <w:pStyle w:val="11"/>
      </w:pPr>
      <w:r>
        <w:t xml:space="preserve">Ok, changed to “impact”. We have also replaced “involvement” with “impact” in the other options as well, for a better alignment. </w:t>
      </w:r>
    </w:p>
  </w:comment>
  <w:comment w:id="2" w:author="Huawei - Jun Chen" w:date="2024-07-01T16:53:00Z" w:initials="cj">
    <w:p w14:paraId="3D004104">
      <w:pPr>
        <w:pStyle w:val="11"/>
      </w:pPr>
      <w:r>
        <w:rPr>
          <w:rFonts w:hint="eastAsia"/>
          <w:lang w:eastAsia="zh-CN"/>
        </w:rPr>
        <w:t>[</w:t>
      </w:r>
      <w:r>
        <w:rPr>
          <w:lang w:eastAsia="zh-CN"/>
        </w:rPr>
        <w:t xml:space="preserve">Huawei2] For this metric </w:t>
      </w:r>
      <w:r>
        <w:t>“Control granularity by NW”, it is a bit unclear. We suggest to use “Network control level” instead, and then for analysis of solutions, we could say "Via XXX procedure" (1a/b can be left as is).</w:t>
      </w:r>
    </w:p>
  </w:comment>
  <w:comment w:id="3" w:author="Ericsson" w:date="2024-07-04T15:01:00Z" w:initials="Ericsson">
    <w:p w14:paraId="71054BDD">
      <w:pPr>
        <w:pStyle w:val="11"/>
      </w:pPr>
      <w:r>
        <w:t>Ok requested changes are now included.</w:t>
      </w:r>
    </w:p>
  </w:comment>
  <w:comment w:id="4" w:author="Huawei - Jun Chen" w:date="2024-07-01T16:37:00Z" w:initials="cj">
    <w:p w14:paraId="4E8D3DC5">
      <w:pPr>
        <w:pStyle w:val="11"/>
        <w:rPr>
          <w:lang w:eastAsia="zh-CN"/>
        </w:rPr>
      </w:pPr>
      <w:r>
        <w:rPr>
          <w:rFonts w:hint="eastAsia"/>
          <w:lang w:eastAsia="zh-CN"/>
        </w:rPr>
        <w:t>[</w:t>
      </w:r>
      <w:r>
        <w:rPr>
          <w:lang w:eastAsia="zh-CN"/>
        </w:rPr>
        <w:t xml:space="preserve">Huawei2] </w:t>
      </w:r>
      <w:r>
        <w:t>One “.” is sufficient</w:t>
      </w:r>
      <w:r>
        <w:rPr>
          <w:rFonts w:hint="eastAsia"/>
          <w:lang w:eastAsia="zh-CN"/>
        </w:rPr>
        <w:t>.</w:t>
      </w:r>
    </w:p>
  </w:comment>
  <w:comment w:id="5" w:author="vivo(Boubacar)" w:date="2024-07-09T08:39:00Z" w:initials="A">
    <w:p w14:paraId="05597407">
      <w:pPr>
        <w:pStyle w:val="11"/>
      </w:pPr>
      <w:r>
        <w:t>Is this hinting to Option 1 not acceptable, or the data collection termination point of Option 1 should be in CN/OAM?</w:t>
      </w:r>
    </w:p>
  </w:comment>
  <w:comment w:id="6" w:author="Huawei - Jun Chen" w:date="2024-07-01T16:28:00Z" w:initials="cj">
    <w:p w14:paraId="23F07096">
      <w:pPr>
        <w:pStyle w:val="11"/>
        <w:rPr>
          <w:lang w:eastAsia="zh-CN"/>
        </w:rPr>
      </w:pPr>
      <w:r>
        <w:rPr>
          <w:rFonts w:hint="eastAsia"/>
          <w:lang w:eastAsia="zh-CN"/>
        </w:rPr>
        <w:t>[</w:t>
      </w:r>
      <w:r>
        <w:rPr>
          <w:lang w:eastAsia="zh-CN"/>
        </w:rPr>
        <w:t>Jun2] For 1b, 2 and 3, we do not think the sentence "3GPP specification involvement is expected" is needed, because RAN2 did not conclude anything on 3GPP specification involvement/impacts. In the table below, some options are being analyzed.</w:t>
      </w:r>
    </w:p>
    <w:p w14:paraId="348C72A0">
      <w:pPr>
        <w:pStyle w:val="11"/>
        <w:rPr>
          <w:lang w:eastAsia="zh-CN"/>
        </w:rPr>
      </w:pPr>
      <w:r>
        <w:rPr>
          <w:lang w:eastAsia="zh-CN"/>
        </w:rPr>
        <w:t>So we suggest to remove "3GPP specification involvement is expected" from 1b, 2 and 3.</w:t>
      </w:r>
    </w:p>
  </w:comment>
  <w:comment w:id="7" w:author="Ericsson" w:date="2024-07-04T14:42:00Z" w:initials="Ericsson">
    <w:p w14:paraId="764B6C46">
      <w:pPr>
        <w:pStyle w:val="11"/>
      </w:pPr>
      <w:r>
        <w:t xml:space="preserve">Our understanding from the online discussion is that the main difference between option 1a and 1b is that in 1b it is expected 3GPP impact. This does not mean that RAN2 needs to evaluate/study the impact or even conclude on that, but we believe that it is good to capture that some impact in 3GPP is expected, otherwise there is no difference between option 1a and 1b. </w:t>
      </w:r>
      <w:r>
        <w:br w:type="textWrapping"/>
      </w:r>
      <w:r>
        <w:t>Hence, we prefer leaving it as it is.</w:t>
      </w:r>
    </w:p>
  </w:comment>
  <w:comment w:id="8" w:author="Rajeev-QC" w:date="2024-07-03T09:05:00Z" w:initials="RK">
    <w:p w14:paraId="3CF30790">
      <w:pPr>
        <w:pStyle w:val="11"/>
      </w:pPr>
      <w:r>
        <w:t xml:space="preserve">Prefer to remove (e.g., LMF). This is correct for positioning use cases, but not correct for other use cases. So, in our understanding example creates misunderstanding instead of clarifying anything. </w:t>
      </w:r>
    </w:p>
  </w:comment>
  <w:comment w:id="9" w:author="Huawei - Jun Chen" w:date="2024-07-01T16:53:00Z" w:initials="cj">
    <w:p w14:paraId="13CF3B9F">
      <w:pPr>
        <w:pStyle w:val="11"/>
      </w:pPr>
      <w:r>
        <w:rPr>
          <w:rFonts w:hint="eastAsia"/>
          <w:lang w:eastAsia="zh-CN"/>
        </w:rPr>
        <w:t>[</w:t>
      </w:r>
      <w:r>
        <w:rPr>
          <w:lang w:eastAsia="zh-CN"/>
        </w:rPr>
        <w:t xml:space="preserve">Huawei2] For this metric </w:t>
      </w:r>
      <w:r>
        <w:t>“Control granularity by NW”, it is a bit unclear. We suggest to use “Network control level” instead, and then for analysis of solutions, we could say "Via XXX procedure" (1a/b can be left as is).</w:t>
      </w:r>
    </w:p>
  </w:comment>
  <w:comment w:id="10" w:author="Huawei - Jun Chen" w:date="2024-07-01T16:28:00Z" w:initials="cj">
    <w:p w14:paraId="64683C97">
      <w:pPr>
        <w:pStyle w:val="11"/>
        <w:rPr>
          <w:lang w:eastAsia="zh-CN"/>
        </w:rPr>
      </w:pPr>
      <w:r>
        <w:rPr>
          <w:rFonts w:hint="eastAsia"/>
          <w:lang w:eastAsia="zh-CN"/>
        </w:rPr>
        <w:t>[</w:t>
      </w:r>
      <w:r>
        <w:rPr>
          <w:lang w:eastAsia="zh-CN"/>
        </w:rPr>
        <w:t>Jun2] For 1b, 2 and 3, we do not think the sentence "3GPP specification involvement is expected" is needed, because RAN2 did not conclude anything on 3GPP specification involvement/impacts. In the table below, some options are being analyzed.</w:t>
      </w:r>
    </w:p>
    <w:p w14:paraId="282F23EB">
      <w:pPr>
        <w:pStyle w:val="11"/>
        <w:rPr>
          <w:lang w:eastAsia="zh-CN"/>
        </w:rPr>
      </w:pPr>
      <w:r>
        <w:rPr>
          <w:lang w:eastAsia="zh-CN"/>
        </w:rPr>
        <w:t>So we suggest to remove "3GPP specification involvement is expected" from 1b, 2 and 3.</w:t>
      </w:r>
    </w:p>
  </w:comment>
  <w:comment w:id="11" w:author="Ericsson" w:date="2024-07-04T14:42:00Z" w:initials="Ericsson">
    <w:p w14:paraId="24555BE9">
      <w:pPr>
        <w:pStyle w:val="11"/>
      </w:pPr>
      <w:r>
        <w:t xml:space="preserve">Our understanding from the online discussion is that the main difference between option 1a and 1b is that in 1b it is expected 3GPP impact. This does not mean that RAN2 needs to evaluate/study the impact or even conclude on that, but we believe that it is good to capture that some impact in 3GPP is expected, otherwise there is no difference between option 1a and 1b. </w:t>
      </w:r>
      <w:r>
        <w:br w:type="textWrapping"/>
      </w:r>
      <w:r>
        <w:t>Hence, we prefer leaving it as it is.</w:t>
      </w:r>
    </w:p>
  </w:comment>
  <w:comment w:id="12" w:author="Huawei - Jun Chen" w:date="2024-07-01T16:53:00Z" w:initials="cj">
    <w:p w14:paraId="695570B7">
      <w:pPr>
        <w:pStyle w:val="11"/>
      </w:pPr>
      <w:r>
        <w:rPr>
          <w:rFonts w:hint="eastAsia"/>
          <w:lang w:eastAsia="zh-CN"/>
        </w:rPr>
        <w:t>[</w:t>
      </w:r>
      <w:r>
        <w:rPr>
          <w:lang w:eastAsia="zh-CN"/>
        </w:rPr>
        <w:t xml:space="preserve">Huawei2] For this metric </w:t>
      </w:r>
      <w:r>
        <w:t>“Control granularity by NW”, it is a bit unclear. We suggest to use “Network control level” instead, and then for analysis of solutions, we could say "Via XXX procedure" (1a/b can be left as is).</w:t>
      </w:r>
    </w:p>
  </w:comment>
  <w:comment w:id="13" w:author="Ericsson" w:date="2024-07-04T15:01:00Z" w:initials="Ericsson">
    <w:p w14:paraId="5C0E3A1C">
      <w:pPr>
        <w:pStyle w:val="11"/>
      </w:pPr>
      <w:r>
        <w:t>Ok requested changes are now included.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301023B" w15:done="1"/>
  <w15:commentEx w15:paraId="66E31CAC" w15:done="1" w15:paraIdParent="5301023B"/>
  <w15:commentEx w15:paraId="3D004104" w15:done="1"/>
  <w15:commentEx w15:paraId="71054BDD" w15:done="1" w15:paraIdParent="3D004104"/>
  <w15:commentEx w15:paraId="4E8D3DC5" w15:done="1"/>
  <w15:commentEx w15:paraId="05597407" w15:done="1"/>
  <w15:commentEx w15:paraId="348C72A0" w15:done="1"/>
  <w15:commentEx w15:paraId="764B6C46" w15:done="1" w15:paraIdParent="348C72A0"/>
  <w15:commentEx w15:paraId="3CF30790" w15:done="1"/>
  <w15:commentEx w15:paraId="13CF3B9F" w15:done="1"/>
  <w15:commentEx w15:paraId="282F23EB" w15:done="1"/>
  <w15:commentEx w15:paraId="24555BE9" w15:done="1" w15:paraIdParent="282F23EB"/>
  <w15:commentEx w15:paraId="695570B7" w15:done="1"/>
  <w15:commentEx w15:paraId="5C0E3A1C" w15:done="1" w15:paraIdParent="695570B7"/>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Times">
    <w:altName w:val="Sylfae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 w:name="Sylfaen">
    <w:panose1 w:val="010A0502050306030303"/>
    <w:charset w:val="00"/>
    <w:family w:val="auto"/>
    <w:pitch w:val="default"/>
    <w:sig w:usb0="04000687" w:usb1="00000000" w:usb2="00000000" w:usb3="00000000" w:csb0="2000009F" w:csb1="0000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4"/>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30"/>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F4E29AD0"/>
    <w:multiLevelType w:val="singleLevel"/>
    <w:tmpl w:val="F4E29AD0"/>
    <w:lvl w:ilvl="0" w:tentative="0">
      <w:start w:val="1"/>
      <w:numFmt w:val="bullet"/>
      <w:lvlText w:val=""/>
      <w:lvlJc w:val="left"/>
      <w:pPr>
        <w:ind w:left="420" w:hanging="420"/>
      </w:pPr>
      <w:rPr>
        <w:rFonts w:hint="default" w:ascii="Wingdings" w:hAnsi="Wingdings"/>
      </w:rPr>
    </w:lvl>
  </w:abstractNum>
  <w:abstractNum w:abstractNumId="3">
    <w:nsid w:val="11F34408"/>
    <w:multiLevelType w:val="multilevel"/>
    <w:tmpl w:val="11F34408"/>
    <w:lvl w:ilvl="0" w:tentative="0">
      <w:start w:val="3"/>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25C1A0"/>
    <w:multiLevelType w:val="singleLevel"/>
    <w:tmpl w:val="1E25C1A0"/>
    <w:lvl w:ilvl="0" w:tentative="0">
      <w:start w:val="1"/>
      <w:numFmt w:val="bullet"/>
      <w:pStyle w:val="37"/>
      <w:lvlText w:val="◦"/>
      <w:lvlJc w:val="left"/>
      <w:pPr>
        <w:ind w:left="420" w:hanging="420"/>
      </w:pPr>
      <w:rPr>
        <w:rFonts w:hint="default" w:ascii="Arial" w:hAnsi="Arial" w:cs="Arial"/>
      </w:rPr>
    </w:lvl>
  </w:abstractNum>
  <w:abstractNum w:abstractNumId="5">
    <w:nsid w:val="241795E7"/>
    <w:multiLevelType w:val="singleLevel"/>
    <w:tmpl w:val="241795E7"/>
    <w:lvl w:ilvl="0" w:tentative="0">
      <w:start w:val="1"/>
      <w:numFmt w:val="bullet"/>
      <w:pStyle w:val="36"/>
      <w:lvlText w:val="◦"/>
      <w:lvlJc w:val="left"/>
      <w:pPr>
        <w:ind w:left="420" w:hanging="420"/>
      </w:pPr>
      <w:rPr>
        <w:rFonts w:hint="default" w:ascii="Arial" w:hAnsi="Arial" w:cs="Arial"/>
      </w:rPr>
    </w:lvl>
  </w:abstractNum>
  <w:abstractNum w:abstractNumId="6">
    <w:nsid w:val="28500EE2"/>
    <w:multiLevelType w:val="singleLevel"/>
    <w:tmpl w:val="28500EE2"/>
    <w:lvl w:ilvl="0" w:tentative="0">
      <w:start w:val="1"/>
      <w:numFmt w:val="bullet"/>
      <w:lvlText w:val=""/>
      <w:lvlJc w:val="left"/>
      <w:pPr>
        <w:ind w:left="420" w:hanging="420"/>
      </w:pPr>
      <w:rPr>
        <w:rFonts w:hint="default" w:ascii="Wingdings" w:hAnsi="Wingdings"/>
      </w:rPr>
    </w:lvl>
  </w:abstractNum>
  <w:abstractNum w:abstractNumId="7">
    <w:nsid w:val="28544DF2"/>
    <w:multiLevelType w:val="singleLevel"/>
    <w:tmpl w:val="28544DF2"/>
    <w:lvl w:ilvl="0" w:tentative="0">
      <w:start w:val="1"/>
      <w:numFmt w:val="decimal"/>
      <w:pStyle w:val="57"/>
      <w:suff w:val="nothing"/>
      <w:lvlText w:val="Observation %1:"/>
      <w:lvlJc w:val="left"/>
      <w:pPr>
        <w:ind w:left="0" w:firstLine="403"/>
      </w:pPr>
      <w:rPr>
        <w:rFonts w:hint="default"/>
      </w:rPr>
    </w:lvl>
  </w:abstractNum>
  <w:abstractNum w:abstractNumId="8">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9">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993"/>
        </w:tabs>
        <w:ind w:left="0"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10">
    <w:nsid w:val="54713D2C"/>
    <w:multiLevelType w:val="singleLevel"/>
    <w:tmpl w:val="54713D2C"/>
    <w:lvl w:ilvl="0" w:tentative="0">
      <w:start w:val="1"/>
      <w:numFmt w:val="bullet"/>
      <w:pStyle w:val="35"/>
      <w:lvlText w:val="•"/>
      <w:lvlJc w:val="left"/>
      <w:pPr>
        <w:ind w:left="420" w:hanging="420"/>
      </w:pPr>
      <w:rPr>
        <w:rFonts w:hint="default" w:ascii="Arial" w:hAnsi="Arial" w:cs="Arial"/>
      </w:rPr>
    </w:lvl>
  </w:abstractNum>
  <w:abstractNum w:abstractNumId="11">
    <w:nsid w:val="56BA34EA"/>
    <w:multiLevelType w:val="singleLevel"/>
    <w:tmpl w:val="56BA34EA"/>
    <w:lvl w:ilvl="0" w:tentative="0">
      <w:start w:val="1"/>
      <w:numFmt w:val="decimal"/>
      <w:suff w:val="space"/>
      <w:lvlText w:val="[%1]"/>
      <w:lvlJc w:val="left"/>
    </w:lvl>
  </w:abstractNum>
  <w:abstractNum w:abstractNumId="12">
    <w:nsid w:val="5D763755"/>
    <w:multiLevelType w:val="multilevel"/>
    <w:tmpl w:val="5D763755"/>
    <w:lvl w:ilvl="0" w:tentative="0">
      <w:start w:val="1"/>
      <w:numFmt w:val="decimal"/>
      <w:pStyle w:val="31"/>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3">
    <w:nsid w:val="61F59045"/>
    <w:multiLevelType w:val="singleLevel"/>
    <w:tmpl w:val="61F59045"/>
    <w:lvl w:ilvl="0" w:tentative="0">
      <w:start w:val="1"/>
      <w:numFmt w:val="bullet"/>
      <w:lvlText w:val=""/>
      <w:lvlJc w:val="left"/>
      <w:pPr>
        <w:ind w:left="420" w:hanging="420"/>
      </w:pPr>
      <w:rPr>
        <w:rFonts w:hint="default" w:ascii="Wingdings" w:hAnsi="Wingdings"/>
      </w:rPr>
    </w:lvl>
  </w:abstractNum>
  <w:abstractNum w:abstractNumId="14">
    <w:nsid w:val="70110F9F"/>
    <w:multiLevelType w:val="multilevel"/>
    <w:tmpl w:val="70110F9F"/>
    <w:lvl w:ilvl="0" w:tentative="0">
      <w:start w:val="1"/>
      <w:numFmt w:val="decimal"/>
      <w:pStyle w:val="33"/>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5">
    <w:nsid w:val="70146DC0"/>
    <w:multiLevelType w:val="multilevel"/>
    <w:tmpl w:val="70146DC0"/>
    <w:lvl w:ilvl="0" w:tentative="0">
      <w:start w:val="1"/>
      <w:numFmt w:val="bullet"/>
      <w:pStyle w:val="58"/>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abstractNum w:abstractNumId="16">
    <w:nsid w:val="7AAA946B"/>
    <w:multiLevelType w:val="singleLevel"/>
    <w:tmpl w:val="7AAA946B"/>
    <w:lvl w:ilvl="0" w:tentative="0">
      <w:start w:val="1"/>
      <w:numFmt w:val="bullet"/>
      <w:lvlText w:val=""/>
      <w:lvlJc w:val="left"/>
      <w:pPr>
        <w:ind w:left="420" w:hanging="420"/>
      </w:pPr>
      <w:rPr>
        <w:rFonts w:hint="default" w:ascii="Wingdings" w:hAnsi="Wingdings"/>
      </w:rPr>
    </w:lvl>
  </w:abstractNum>
  <w:num w:numId="1">
    <w:abstractNumId w:val="9"/>
  </w:num>
  <w:num w:numId="2">
    <w:abstractNumId w:val="1"/>
  </w:num>
  <w:num w:numId="3">
    <w:abstractNumId w:val="12"/>
  </w:num>
  <w:num w:numId="4">
    <w:abstractNumId w:val="14"/>
  </w:num>
  <w:num w:numId="5">
    <w:abstractNumId w:val="0"/>
  </w:num>
  <w:num w:numId="6">
    <w:abstractNumId w:val="10"/>
  </w:num>
  <w:num w:numId="7">
    <w:abstractNumId w:val="5"/>
  </w:num>
  <w:num w:numId="8">
    <w:abstractNumId w:val="4"/>
  </w:num>
  <w:num w:numId="9">
    <w:abstractNumId w:val="8"/>
  </w:num>
  <w:num w:numId="10">
    <w:abstractNumId w:val="7"/>
  </w:num>
  <w:num w:numId="11">
    <w:abstractNumId w:val="15"/>
  </w:num>
  <w:num w:numId="12">
    <w:abstractNumId w:val="16"/>
  </w:num>
  <w:num w:numId="13">
    <w:abstractNumId w:val="3"/>
  </w:num>
  <w:num w:numId="14">
    <w:abstractNumId w:val="13"/>
  </w:num>
  <w:num w:numId="15">
    <w:abstractNumId w:val="2"/>
  </w:num>
  <w:num w:numId="16">
    <w:abstractNumId w:val="6"/>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Rajeev-QC">
    <w15:presenceInfo w15:providerId="None" w15:userId="Rajeev-QC"/>
  </w15:person>
  <w15:person w15:author="Huawei - Jun Chen">
    <w15:presenceInfo w15:providerId="None" w15:userId="Huawei - Jun Chen"/>
  </w15:person>
  <w15:person w15:author="vivo(Boubacar)">
    <w15:presenceInfo w15:providerId="None" w15:userId="vivo(Boubacar)"/>
  </w15:person>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BB"/>
    <w:rsid w:val="00006FC2"/>
    <w:rsid w:val="000123BD"/>
    <w:rsid w:val="000215AB"/>
    <w:rsid w:val="0002205F"/>
    <w:rsid w:val="00044B96"/>
    <w:rsid w:val="000475A2"/>
    <w:rsid w:val="0005307B"/>
    <w:rsid w:val="00053593"/>
    <w:rsid w:val="00066981"/>
    <w:rsid w:val="00080D25"/>
    <w:rsid w:val="000829B2"/>
    <w:rsid w:val="000B1599"/>
    <w:rsid w:val="000B2A0C"/>
    <w:rsid w:val="000B2C1E"/>
    <w:rsid w:val="000B5061"/>
    <w:rsid w:val="000B5F83"/>
    <w:rsid w:val="000C2E4A"/>
    <w:rsid w:val="000D46E7"/>
    <w:rsid w:val="000D65FC"/>
    <w:rsid w:val="000D6AC7"/>
    <w:rsid w:val="000F15B3"/>
    <w:rsid w:val="001171FF"/>
    <w:rsid w:val="00142E6D"/>
    <w:rsid w:val="00145D02"/>
    <w:rsid w:val="0015763C"/>
    <w:rsid w:val="00167F63"/>
    <w:rsid w:val="00171C2E"/>
    <w:rsid w:val="00172A27"/>
    <w:rsid w:val="0017519D"/>
    <w:rsid w:val="001768FE"/>
    <w:rsid w:val="0018215F"/>
    <w:rsid w:val="0018673E"/>
    <w:rsid w:val="00187321"/>
    <w:rsid w:val="00193046"/>
    <w:rsid w:val="001A2BEB"/>
    <w:rsid w:val="001B4DCA"/>
    <w:rsid w:val="001B502E"/>
    <w:rsid w:val="001B6355"/>
    <w:rsid w:val="001E3384"/>
    <w:rsid w:val="00221F35"/>
    <w:rsid w:val="002376AE"/>
    <w:rsid w:val="00260659"/>
    <w:rsid w:val="00266F65"/>
    <w:rsid w:val="00271AE3"/>
    <w:rsid w:val="0027361D"/>
    <w:rsid w:val="00283AC3"/>
    <w:rsid w:val="00287778"/>
    <w:rsid w:val="002A19A2"/>
    <w:rsid w:val="002A38F7"/>
    <w:rsid w:val="002B23FB"/>
    <w:rsid w:val="002B3874"/>
    <w:rsid w:val="002C0735"/>
    <w:rsid w:val="002D2DAE"/>
    <w:rsid w:val="002D63B9"/>
    <w:rsid w:val="002E478D"/>
    <w:rsid w:val="002E5E77"/>
    <w:rsid w:val="00301063"/>
    <w:rsid w:val="003161BA"/>
    <w:rsid w:val="00324214"/>
    <w:rsid w:val="00330F1D"/>
    <w:rsid w:val="00332964"/>
    <w:rsid w:val="00335993"/>
    <w:rsid w:val="003503A9"/>
    <w:rsid w:val="00350843"/>
    <w:rsid w:val="00355768"/>
    <w:rsid w:val="0035608C"/>
    <w:rsid w:val="0035707F"/>
    <w:rsid w:val="0037138B"/>
    <w:rsid w:val="00372B6B"/>
    <w:rsid w:val="00376B17"/>
    <w:rsid w:val="003770EB"/>
    <w:rsid w:val="00385770"/>
    <w:rsid w:val="003904D9"/>
    <w:rsid w:val="00395F21"/>
    <w:rsid w:val="003A6BA5"/>
    <w:rsid w:val="003C0B54"/>
    <w:rsid w:val="003C3CE4"/>
    <w:rsid w:val="003D17AE"/>
    <w:rsid w:val="003D6916"/>
    <w:rsid w:val="003E5CBE"/>
    <w:rsid w:val="003E6EAB"/>
    <w:rsid w:val="003F2A5C"/>
    <w:rsid w:val="003F31D3"/>
    <w:rsid w:val="003F6A02"/>
    <w:rsid w:val="003F6CD6"/>
    <w:rsid w:val="0040342D"/>
    <w:rsid w:val="00404DA5"/>
    <w:rsid w:val="00406686"/>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188C"/>
    <w:rsid w:val="00534212"/>
    <w:rsid w:val="00572097"/>
    <w:rsid w:val="00572390"/>
    <w:rsid w:val="0057368E"/>
    <w:rsid w:val="00573BED"/>
    <w:rsid w:val="0057415E"/>
    <w:rsid w:val="00580813"/>
    <w:rsid w:val="00586D0B"/>
    <w:rsid w:val="00594534"/>
    <w:rsid w:val="0059672B"/>
    <w:rsid w:val="005A296C"/>
    <w:rsid w:val="005B065E"/>
    <w:rsid w:val="005B3E61"/>
    <w:rsid w:val="005B6F6F"/>
    <w:rsid w:val="005C045F"/>
    <w:rsid w:val="005C252F"/>
    <w:rsid w:val="005D2E9C"/>
    <w:rsid w:val="005E53D2"/>
    <w:rsid w:val="005E7AC2"/>
    <w:rsid w:val="005F7B99"/>
    <w:rsid w:val="00602BF6"/>
    <w:rsid w:val="006144B4"/>
    <w:rsid w:val="00630BC2"/>
    <w:rsid w:val="00641474"/>
    <w:rsid w:val="00644DDC"/>
    <w:rsid w:val="00651C7E"/>
    <w:rsid w:val="006524E1"/>
    <w:rsid w:val="00664296"/>
    <w:rsid w:val="0066599E"/>
    <w:rsid w:val="006807E6"/>
    <w:rsid w:val="00691D2E"/>
    <w:rsid w:val="006945A5"/>
    <w:rsid w:val="006A761C"/>
    <w:rsid w:val="006B145B"/>
    <w:rsid w:val="006B51F4"/>
    <w:rsid w:val="006B60F5"/>
    <w:rsid w:val="006B7CC1"/>
    <w:rsid w:val="006D0EA4"/>
    <w:rsid w:val="006D68B8"/>
    <w:rsid w:val="006F26CE"/>
    <w:rsid w:val="00713F6C"/>
    <w:rsid w:val="00715475"/>
    <w:rsid w:val="00724E53"/>
    <w:rsid w:val="007368C7"/>
    <w:rsid w:val="00764FF4"/>
    <w:rsid w:val="00773968"/>
    <w:rsid w:val="00774664"/>
    <w:rsid w:val="00777B2E"/>
    <w:rsid w:val="00791CC0"/>
    <w:rsid w:val="007D319F"/>
    <w:rsid w:val="007D5147"/>
    <w:rsid w:val="007E7A15"/>
    <w:rsid w:val="007F3DCC"/>
    <w:rsid w:val="007F6C3A"/>
    <w:rsid w:val="00820E09"/>
    <w:rsid w:val="008212F1"/>
    <w:rsid w:val="00827B07"/>
    <w:rsid w:val="008503AC"/>
    <w:rsid w:val="0086109C"/>
    <w:rsid w:val="00875445"/>
    <w:rsid w:val="00885FE5"/>
    <w:rsid w:val="00890F3B"/>
    <w:rsid w:val="008A1EED"/>
    <w:rsid w:val="008A2E93"/>
    <w:rsid w:val="008A71F9"/>
    <w:rsid w:val="008B5FA9"/>
    <w:rsid w:val="008C1417"/>
    <w:rsid w:val="008D09A1"/>
    <w:rsid w:val="008D19DE"/>
    <w:rsid w:val="008D304B"/>
    <w:rsid w:val="008D3B0B"/>
    <w:rsid w:val="008F30BC"/>
    <w:rsid w:val="008F3CF6"/>
    <w:rsid w:val="008F5537"/>
    <w:rsid w:val="009058F6"/>
    <w:rsid w:val="009141DD"/>
    <w:rsid w:val="009260F9"/>
    <w:rsid w:val="00927B45"/>
    <w:rsid w:val="009401EC"/>
    <w:rsid w:val="00942041"/>
    <w:rsid w:val="00945B44"/>
    <w:rsid w:val="00954A8B"/>
    <w:rsid w:val="00956F7B"/>
    <w:rsid w:val="0096044C"/>
    <w:rsid w:val="00970863"/>
    <w:rsid w:val="00980780"/>
    <w:rsid w:val="009812A3"/>
    <w:rsid w:val="009817D2"/>
    <w:rsid w:val="009A291D"/>
    <w:rsid w:val="009A704B"/>
    <w:rsid w:val="009B04AB"/>
    <w:rsid w:val="009C7CB7"/>
    <w:rsid w:val="009D023F"/>
    <w:rsid w:val="009D3B70"/>
    <w:rsid w:val="009F7526"/>
    <w:rsid w:val="009F756D"/>
    <w:rsid w:val="00A00EF4"/>
    <w:rsid w:val="00A05B81"/>
    <w:rsid w:val="00A06AA1"/>
    <w:rsid w:val="00A1020D"/>
    <w:rsid w:val="00A12C8C"/>
    <w:rsid w:val="00A1326F"/>
    <w:rsid w:val="00A137A4"/>
    <w:rsid w:val="00A2422D"/>
    <w:rsid w:val="00A24542"/>
    <w:rsid w:val="00A25CEE"/>
    <w:rsid w:val="00A37B97"/>
    <w:rsid w:val="00A40102"/>
    <w:rsid w:val="00A41C84"/>
    <w:rsid w:val="00A50086"/>
    <w:rsid w:val="00A5717C"/>
    <w:rsid w:val="00A70439"/>
    <w:rsid w:val="00A7396D"/>
    <w:rsid w:val="00A777FD"/>
    <w:rsid w:val="00A9766A"/>
    <w:rsid w:val="00A97F27"/>
    <w:rsid w:val="00AA02A1"/>
    <w:rsid w:val="00AA5F4E"/>
    <w:rsid w:val="00AB0873"/>
    <w:rsid w:val="00AB67B2"/>
    <w:rsid w:val="00AC14C2"/>
    <w:rsid w:val="00AC4CB5"/>
    <w:rsid w:val="00AD6794"/>
    <w:rsid w:val="00AE051A"/>
    <w:rsid w:val="00AE0D6E"/>
    <w:rsid w:val="00AE3EC3"/>
    <w:rsid w:val="00AF5B20"/>
    <w:rsid w:val="00B03CE5"/>
    <w:rsid w:val="00B056D9"/>
    <w:rsid w:val="00B14503"/>
    <w:rsid w:val="00B23BAD"/>
    <w:rsid w:val="00B243FA"/>
    <w:rsid w:val="00B30D2E"/>
    <w:rsid w:val="00B428B5"/>
    <w:rsid w:val="00B46BB6"/>
    <w:rsid w:val="00B50C9F"/>
    <w:rsid w:val="00B5261F"/>
    <w:rsid w:val="00B526F0"/>
    <w:rsid w:val="00B66CB1"/>
    <w:rsid w:val="00B66E75"/>
    <w:rsid w:val="00B67AB7"/>
    <w:rsid w:val="00B764C8"/>
    <w:rsid w:val="00B8129D"/>
    <w:rsid w:val="00B928EB"/>
    <w:rsid w:val="00BA0DDB"/>
    <w:rsid w:val="00BA3F20"/>
    <w:rsid w:val="00BB0B7F"/>
    <w:rsid w:val="00BB117D"/>
    <w:rsid w:val="00BB6518"/>
    <w:rsid w:val="00BC234C"/>
    <w:rsid w:val="00BD6330"/>
    <w:rsid w:val="00BE7F7D"/>
    <w:rsid w:val="00BF10A3"/>
    <w:rsid w:val="00C11946"/>
    <w:rsid w:val="00C155C1"/>
    <w:rsid w:val="00C202A3"/>
    <w:rsid w:val="00C5672F"/>
    <w:rsid w:val="00C61511"/>
    <w:rsid w:val="00C6294E"/>
    <w:rsid w:val="00C71AAD"/>
    <w:rsid w:val="00CB0035"/>
    <w:rsid w:val="00CB4CA6"/>
    <w:rsid w:val="00CB6631"/>
    <w:rsid w:val="00CC4FD8"/>
    <w:rsid w:val="00CE1D22"/>
    <w:rsid w:val="00CE2B6B"/>
    <w:rsid w:val="00CE3392"/>
    <w:rsid w:val="00D03DF4"/>
    <w:rsid w:val="00D20EC2"/>
    <w:rsid w:val="00D2290B"/>
    <w:rsid w:val="00D234CC"/>
    <w:rsid w:val="00D316E9"/>
    <w:rsid w:val="00D35B96"/>
    <w:rsid w:val="00D44606"/>
    <w:rsid w:val="00D71DA7"/>
    <w:rsid w:val="00D83525"/>
    <w:rsid w:val="00D840E4"/>
    <w:rsid w:val="00D85113"/>
    <w:rsid w:val="00D8764B"/>
    <w:rsid w:val="00DA679D"/>
    <w:rsid w:val="00DA7FC2"/>
    <w:rsid w:val="00DB0B58"/>
    <w:rsid w:val="00DD5091"/>
    <w:rsid w:val="00DD5D1C"/>
    <w:rsid w:val="00DE79EC"/>
    <w:rsid w:val="00DF03C1"/>
    <w:rsid w:val="00DF0709"/>
    <w:rsid w:val="00DF75DB"/>
    <w:rsid w:val="00E022FD"/>
    <w:rsid w:val="00E231FB"/>
    <w:rsid w:val="00E27091"/>
    <w:rsid w:val="00E35DE6"/>
    <w:rsid w:val="00E422E5"/>
    <w:rsid w:val="00E45E7F"/>
    <w:rsid w:val="00E479BD"/>
    <w:rsid w:val="00E530A4"/>
    <w:rsid w:val="00E540B2"/>
    <w:rsid w:val="00E54CEF"/>
    <w:rsid w:val="00E55B23"/>
    <w:rsid w:val="00E5638F"/>
    <w:rsid w:val="00E74F94"/>
    <w:rsid w:val="00E873DE"/>
    <w:rsid w:val="00EA2F70"/>
    <w:rsid w:val="00EA4204"/>
    <w:rsid w:val="00EA5E9B"/>
    <w:rsid w:val="00EB50B5"/>
    <w:rsid w:val="00EB7B8C"/>
    <w:rsid w:val="00EC355B"/>
    <w:rsid w:val="00ED26AB"/>
    <w:rsid w:val="00ED36D7"/>
    <w:rsid w:val="00ED4725"/>
    <w:rsid w:val="00EE5268"/>
    <w:rsid w:val="00EE5F9D"/>
    <w:rsid w:val="00EF473E"/>
    <w:rsid w:val="00F0703E"/>
    <w:rsid w:val="00F24223"/>
    <w:rsid w:val="00F33F85"/>
    <w:rsid w:val="00F4001A"/>
    <w:rsid w:val="00F471FA"/>
    <w:rsid w:val="00F4751E"/>
    <w:rsid w:val="00F509E9"/>
    <w:rsid w:val="00F60665"/>
    <w:rsid w:val="00F65BA8"/>
    <w:rsid w:val="00F65D73"/>
    <w:rsid w:val="00F821A9"/>
    <w:rsid w:val="00FA1D4B"/>
    <w:rsid w:val="00FB4228"/>
    <w:rsid w:val="00FB5803"/>
    <w:rsid w:val="00FC6E1D"/>
    <w:rsid w:val="00FD2DE4"/>
    <w:rsid w:val="00FD6362"/>
    <w:rsid w:val="00FE287B"/>
    <w:rsid w:val="00FE3A28"/>
    <w:rsid w:val="00FF38B8"/>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3FC0BE8"/>
    <w:rsid w:val="04185C08"/>
    <w:rsid w:val="041F537B"/>
    <w:rsid w:val="04206331"/>
    <w:rsid w:val="043168B5"/>
    <w:rsid w:val="049251C3"/>
    <w:rsid w:val="04DA33A7"/>
    <w:rsid w:val="0555228E"/>
    <w:rsid w:val="057D6C1A"/>
    <w:rsid w:val="05833A23"/>
    <w:rsid w:val="059D1E39"/>
    <w:rsid w:val="05E078B3"/>
    <w:rsid w:val="060F4745"/>
    <w:rsid w:val="06533D31"/>
    <w:rsid w:val="069716DA"/>
    <w:rsid w:val="077D0583"/>
    <w:rsid w:val="07832E38"/>
    <w:rsid w:val="079724D0"/>
    <w:rsid w:val="07AB1BA5"/>
    <w:rsid w:val="082A352F"/>
    <w:rsid w:val="082F287B"/>
    <w:rsid w:val="08325246"/>
    <w:rsid w:val="084D7D75"/>
    <w:rsid w:val="085310AF"/>
    <w:rsid w:val="08C349D1"/>
    <w:rsid w:val="08FD1F99"/>
    <w:rsid w:val="092D6388"/>
    <w:rsid w:val="09460486"/>
    <w:rsid w:val="095C4FB4"/>
    <w:rsid w:val="09F67CD5"/>
    <w:rsid w:val="0A9724B3"/>
    <w:rsid w:val="0AA3355A"/>
    <w:rsid w:val="0AC167FE"/>
    <w:rsid w:val="0B584155"/>
    <w:rsid w:val="0B9E71DF"/>
    <w:rsid w:val="0BBD62CF"/>
    <w:rsid w:val="0C776B79"/>
    <w:rsid w:val="0C9D30C2"/>
    <w:rsid w:val="0D2242B0"/>
    <w:rsid w:val="0D511EA2"/>
    <w:rsid w:val="0D8F4081"/>
    <w:rsid w:val="0D9D65F4"/>
    <w:rsid w:val="0DE91C8A"/>
    <w:rsid w:val="0E172BD0"/>
    <w:rsid w:val="0EDF02B5"/>
    <w:rsid w:val="0EEC1926"/>
    <w:rsid w:val="0F593CC6"/>
    <w:rsid w:val="0F7716EA"/>
    <w:rsid w:val="100D6188"/>
    <w:rsid w:val="10505D93"/>
    <w:rsid w:val="106D269D"/>
    <w:rsid w:val="10936355"/>
    <w:rsid w:val="10A50104"/>
    <w:rsid w:val="10EE6A98"/>
    <w:rsid w:val="114E14F4"/>
    <w:rsid w:val="115B3410"/>
    <w:rsid w:val="1176196F"/>
    <w:rsid w:val="119D7849"/>
    <w:rsid w:val="1242135C"/>
    <w:rsid w:val="12626D51"/>
    <w:rsid w:val="12825666"/>
    <w:rsid w:val="12E524C7"/>
    <w:rsid w:val="12F33A2A"/>
    <w:rsid w:val="13561985"/>
    <w:rsid w:val="13754B54"/>
    <w:rsid w:val="13A1683F"/>
    <w:rsid w:val="13D96978"/>
    <w:rsid w:val="144858D9"/>
    <w:rsid w:val="14960C8D"/>
    <w:rsid w:val="14DA3DA1"/>
    <w:rsid w:val="14E77EFC"/>
    <w:rsid w:val="152D3980"/>
    <w:rsid w:val="153D4D0C"/>
    <w:rsid w:val="153F2C24"/>
    <w:rsid w:val="15BE6B7D"/>
    <w:rsid w:val="161B446F"/>
    <w:rsid w:val="168C722A"/>
    <w:rsid w:val="16CF2322"/>
    <w:rsid w:val="17155857"/>
    <w:rsid w:val="17950508"/>
    <w:rsid w:val="17AD7BB9"/>
    <w:rsid w:val="17AE4590"/>
    <w:rsid w:val="17C01C99"/>
    <w:rsid w:val="18677125"/>
    <w:rsid w:val="18B4714D"/>
    <w:rsid w:val="19010C43"/>
    <w:rsid w:val="19084C73"/>
    <w:rsid w:val="192704F2"/>
    <w:rsid w:val="194239FF"/>
    <w:rsid w:val="19AA1925"/>
    <w:rsid w:val="19DC06B4"/>
    <w:rsid w:val="19E51863"/>
    <w:rsid w:val="1A0470F6"/>
    <w:rsid w:val="1A054259"/>
    <w:rsid w:val="1A273CC1"/>
    <w:rsid w:val="1A564770"/>
    <w:rsid w:val="1AA20BEC"/>
    <w:rsid w:val="1ACB71A7"/>
    <w:rsid w:val="1B691856"/>
    <w:rsid w:val="1B6A73D5"/>
    <w:rsid w:val="1B7168D1"/>
    <w:rsid w:val="1B7A36A9"/>
    <w:rsid w:val="1B7F0D56"/>
    <w:rsid w:val="1B7F6005"/>
    <w:rsid w:val="1B9D73EE"/>
    <w:rsid w:val="1C132CB9"/>
    <w:rsid w:val="1C1F3444"/>
    <w:rsid w:val="1C322B18"/>
    <w:rsid w:val="1C7D0023"/>
    <w:rsid w:val="1CCC26CA"/>
    <w:rsid w:val="1CD468AB"/>
    <w:rsid w:val="1CE76586"/>
    <w:rsid w:val="1CFF67BA"/>
    <w:rsid w:val="1D0B45EB"/>
    <w:rsid w:val="1E056606"/>
    <w:rsid w:val="1E650552"/>
    <w:rsid w:val="1E7A1BD5"/>
    <w:rsid w:val="1E9D6342"/>
    <w:rsid w:val="1EAE7285"/>
    <w:rsid w:val="1EBD2365"/>
    <w:rsid w:val="1EC1716C"/>
    <w:rsid w:val="1ECA5C70"/>
    <w:rsid w:val="1EDE49FD"/>
    <w:rsid w:val="1EE63820"/>
    <w:rsid w:val="1F254E27"/>
    <w:rsid w:val="1F8575E3"/>
    <w:rsid w:val="1FB478B7"/>
    <w:rsid w:val="204E6676"/>
    <w:rsid w:val="20766689"/>
    <w:rsid w:val="20AF45AF"/>
    <w:rsid w:val="20C17FFD"/>
    <w:rsid w:val="214F70E4"/>
    <w:rsid w:val="2195668B"/>
    <w:rsid w:val="21962F88"/>
    <w:rsid w:val="21BE5AD4"/>
    <w:rsid w:val="21CA1BB1"/>
    <w:rsid w:val="21F128CC"/>
    <w:rsid w:val="22670C51"/>
    <w:rsid w:val="22731953"/>
    <w:rsid w:val="23081A49"/>
    <w:rsid w:val="2314495C"/>
    <w:rsid w:val="2334383D"/>
    <w:rsid w:val="237776CF"/>
    <w:rsid w:val="23B369D5"/>
    <w:rsid w:val="23C15D2D"/>
    <w:rsid w:val="23CE335E"/>
    <w:rsid w:val="23D10A6B"/>
    <w:rsid w:val="241A03AC"/>
    <w:rsid w:val="241B15A2"/>
    <w:rsid w:val="243E205B"/>
    <w:rsid w:val="245C52F8"/>
    <w:rsid w:val="245F0637"/>
    <w:rsid w:val="2463385E"/>
    <w:rsid w:val="247E405B"/>
    <w:rsid w:val="24E64719"/>
    <w:rsid w:val="250D568B"/>
    <w:rsid w:val="25134332"/>
    <w:rsid w:val="25510545"/>
    <w:rsid w:val="257E508F"/>
    <w:rsid w:val="25961FCE"/>
    <w:rsid w:val="25C52CA6"/>
    <w:rsid w:val="26BF5712"/>
    <w:rsid w:val="26D25624"/>
    <w:rsid w:val="26D519C6"/>
    <w:rsid w:val="270011DC"/>
    <w:rsid w:val="27AB7429"/>
    <w:rsid w:val="27D651C1"/>
    <w:rsid w:val="281C2C78"/>
    <w:rsid w:val="283A0F3F"/>
    <w:rsid w:val="28416E7E"/>
    <w:rsid w:val="285C053E"/>
    <w:rsid w:val="28E9147E"/>
    <w:rsid w:val="293351FB"/>
    <w:rsid w:val="298C76E3"/>
    <w:rsid w:val="29FA7F26"/>
    <w:rsid w:val="2A0F29F0"/>
    <w:rsid w:val="2A374081"/>
    <w:rsid w:val="2A520385"/>
    <w:rsid w:val="2A5F0C68"/>
    <w:rsid w:val="2A903960"/>
    <w:rsid w:val="2ACC4A84"/>
    <w:rsid w:val="2B414371"/>
    <w:rsid w:val="2B774832"/>
    <w:rsid w:val="2BAE2E9B"/>
    <w:rsid w:val="2BD23509"/>
    <w:rsid w:val="2C3E7B79"/>
    <w:rsid w:val="2C946521"/>
    <w:rsid w:val="2CB52ADF"/>
    <w:rsid w:val="2CDE11E4"/>
    <w:rsid w:val="2CF81254"/>
    <w:rsid w:val="2DC90FF2"/>
    <w:rsid w:val="2F1251F2"/>
    <w:rsid w:val="2F2D2E24"/>
    <w:rsid w:val="2F3B2C65"/>
    <w:rsid w:val="307C131E"/>
    <w:rsid w:val="30962F3E"/>
    <w:rsid w:val="30D17E68"/>
    <w:rsid w:val="30E61F3A"/>
    <w:rsid w:val="30FF2795"/>
    <w:rsid w:val="31F206BD"/>
    <w:rsid w:val="3207642D"/>
    <w:rsid w:val="322D54F6"/>
    <w:rsid w:val="3283370E"/>
    <w:rsid w:val="329A6ACE"/>
    <w:rsid w:val="32CE7DB9"/>
    <w:rsid w:val="32D32892"/>
    <w:rsid w:val="33100CE4"/>
    <w:rsid w:val="3311524E"/>
    <w:rsid w:val="333A6A27"/>
    <w:rsid w:val="33534944"/>
    <w:rsid w:val="33607071"/>
    <w:rsid w:val="338D7587"/>
    <w:rsid w:val="34A16B63"/>
    <w:rsid w:val="34D94F8E"/>
    <w:rsid w:val="35700BFC"/>
    <w:rsid w:val="35835583"/>
    <w:rsid w:val="359547E0"/>
    <w:rsid w:val="35A4779E"/>
    <w:rsid w:val="35EA2969"/>
    <w:rsid w:val="35EB3B29"/>
    <w:rsid w:val="35F7332A"/>
    <w:rsid w:val="360B1D73"/>
    <w:rsid w:val="361F3323"/>
    <w:rsid w:val="36A04581"/>
    <w:rsid w:val="36B76EFF"/>
    <w:rsid w:val="36E93760"/>
    <w:rsid w:val="37305077"/>
    <w:rsid w:val="37453535"/>
    <w:rsid w:val="376B65F6"/>
    <w:rsid w:val="377E620D"/>
    <w:rsid w:val="3784394E"/>
    <w:rsid w:val="37A507E2"/>
    <w:rsid w:val="380354B4"/>
    <w:rsid w:val="38784A0F"/>
    <w:rsid w:val="38AE3BB0"/>
    <w:rsid w:val="3923463F"/>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47C31"/>
    <w:rsid w:val="3DA8275C"/>
    <w:rsid w:val="3DE43AD5"/>
    <w:rsid w:val="3DF328BF"/>
    <w:rsid w:val="3E441C7D"/>
    <w:rsid w:val="3EC30088"/>
    <w:rsid w:val="3F3C3EA0"/>
    <w:rsid w:val="3F4622BC"/>
    <w:rsid w:val="3F7578F1"/>
    <w:rsid w:val="3F792164"/>
    <w:rsid w:val="3F851AC5"/>
    <w:rsid w:val="3FC956FF"/>
    <w:rsid w:val="3FE33605"/>
    <w:rsid w:val="40327F7E"/>
    <w:rsid w:val="40711332"/>
    <w:rsid w:val="408C57D5"/>
    <w:rsid w:val="40A36A71"/>
    <w:rsid w:val="410E4736"/>
    <w:rsid w:val="41D3631F"/>
    <w:rsid w:val="41EA6387"/>
    <w:rsid w:val="41F466FD"/>
    <w:rsid w:val="42277B6B"/>
    <w:rsid w:val="423815B7"/>
    <w:rsid w:val="42A67A24"/>
    <w:rsid w:val="42D846B9"/>
    <w:rsid w:val="430D7A82"/>
    <w:rsid w:val="438F5697"/>
    <w:rsid w:val="43A55B32"/>
    <w:rsid w:val="43D95BBF"/>
    <w:rsid w:val="440D5045"/>
    <w:rsid w:val="440E3F24"/>
    <w:rsid w:val="44173BF9"/>
    <w:rsid w:val="44416E39"/>
    <w:rsid w:val="44613B62"/>
    <w:rsid w:val="448B4B03"/>
    <w:rsid w:val="44EF7DE2"/>
    <w:rsid w:val="44F3408E"/>
    <w:rsid w:val="4515300D"/>
    <w:rsid w:val="455B0E88"/>
    <w:rsid w:val="45665BF5"/>
    <w:rsid w:val="45BE6191"/>
    <w:rsid w:val="45CF4C53"/>
    <w:rsid w:val="45F4123C"/>
    <w:rsid w:val="460C5979"/>
    <w:rsid w:val="46EF7E4E"/>
    <w:rsid w:val="47412B37"/>
    <w:rsid w:val="474A4532"/>
    <w:rsid w:val="475E782E"/>
    <w:rsid w:val="476F0FC5"/>
    <w:rsid w:val="47882F90"/>
    <w:rsid w:val="47B72EE3"/>
    <w:rsid w:val="47C01792"/>
    <w:rsid w:val="4808150F"/>
    <w:rsid w:val="48107720"/>
    <w:rsid w:val="482D66CC"/>
    <w:rsid w:val="483B65F5"/>
    <w:rsid w:val="49073F06"/>
    <w:rsid w:val="495661FE"/>
    <w:rsid w:val="497F690B"/>
    <w:rsid w:val="49BC4BE1"/>
    <w:rsid w:val="49C74315"/>
    <w:rsid w:val="49E9233D"/>
    <w:rsid w:val="4A2803BA"/>
    <w:rsid w:val="4A42266B"/>
    <w:rsid w:val="4A434E8D"/>
    <w:rsid w:val="4AAD1944"/>
    <w:rsid w:val="4AC31003"/>
    <w:rsid w:val="4AE93159"/>
    <w:rsid w:val="4B28179F"/>
    <w:rsid w:val="4B5C4413"/>
    <w:rsid w:val="4BB32777"/>
    <w:rsid w:val="4BB45090"/>
    <w:rsid w:val="4BD0339A"/>
    <w:rsid w:val="4C9733D5"/>
    <w:rsid w:val="4D19690C"/>
    <w:rsid w:val="4D462159"/>
    <w:rsid w:val="4D5C5FAC"/>
    <w:rsid w:val="4D672FD1"/>
    <w:rsid w:val="4DC605B6"/>
    <w:rsid w:val="4DE319B7"/>
    <w:rsid w:val="4DEC0985"/>
    <w:rsid w:val="4DFC725D"/>
    <w:rsid w:val="4E27683A"/>
    <w:rsid w:val="4E901F73"/>
    <w:rsid w:val="4EAB059E"/>
    <w:rsid w:val="4EDD2072"/>
    <w:rsid w:val="4F1A715B"/>
    <w:rsid w:val="4F2765B1"/>
    <w:rsid w:val="4F285975"/>
    <w:rsid w:val="4F612D05"/>
    <w:rsid w:val="4F672A37"/>
    <w:rsid w:val="4F7409E6"/>
    <w:rsid w:val="50101A15"/>
    <w:rsid w:val="504B4F45"/>
    <w:rsid w:val="5090028C"/>
    <w:rsid w:val="50BC6B7B"/>
    <w:rsid w:val="50DD1BD1"/>
    <w:rsid w:val="50FE276C"/>
    <w:rsid w:val="5145149A"/>
    <w:rsid w:val="516721CB"/>
    <w:rsid w:val="51746790"/>
    <w:rsid w:val="51796EDE"/>
    <w:rsid w:val="51867298"/>
    <w:rsid w:val="51AC0F10"/>
    <w:rsid w:val="51B22A95"/>
    <w:rsid w:val="52195EDF"/>
    <w:rsid w:val="52313387"/>
    <w:rsid w:val="52595E1D"/>
    <w:rsid w:val="5283747E"/>
    <w:rsid w:val="529F0593"/>
    <w:rsid w:val="52B05355"/>
    <w:rsid w:val="52C104ED"/>
    <w:rsid w:val="52E04D27"/>
    <w:rsid w:val="52FF78E7"/>
    <w:rsid w:val="531540A5"/>
    <w:rsid w:val="532F29E7"/>
    <w:rsid w:val="539A390F"/>
    <w:rsid w:val="53C62000"/>
    <w:rsid w:val="53CF14EE"/>
    <w:rsid w:val="53D32529"/>
    <w:rsid w:val="53DB3477"/>
    <w:rsid w:val="54AF6B42"/>
    <w:rsid w:val="54E86AFF"/>
    <w:rsid w:val="55D02E6C"/>
    <w:rsid w:val="55DD6F2A"/>
    <w:rsid w:val="55E52812"/>
    <w:rsid w:val="560E3399"/>
    <w:rsid w:val="565D57F4"/>
    <w:rsid w:val="5674038B"/>
    <w:rsid w:val="56D02A7B"/>
    <w:rsid w:val="56E23970"/>
    <w:rsid w:val="56FE2FE7"/>
    <w:rsid w:val="57155486"/>
    <w:rsid w:val="57522AF0"/>
    <w:rsid w:val="57773B00"/>
    <w:rsid w:val="577A3C7D"/>
    <w:rsid w:val="578F220A"/>
    <w:rsid w:val="57FC07D9"/>
    <w:rsid w:val="58500F22"/>
    <w:rsid w:val="58B01CD1"/>
    <w:rsid w:val="59044DFA"/>
    <w:rsid w:val="591C0009"/>
    <w:rsid w:val="591D7CE9"/>
    <w:rsid w:val="59772C15"/>
    <w:rsid w:val="5A256629"/>
    <w:rsid w:val="5A683F99"/>
    <w:rsid w:val="5A7C7F4E"/>
    <w:rsid w:val="5ACF0F3A"/>
    <w:rsid w:val="5AFF0F58"/>
    <w:rsid w:val="5B3917E9"/>
    <w:rsid w:val="5B8A7D02"/>
    <w:rsid w:val="5BED6C94"/>
    <w:rsid w:val="5C6B1600"/>
    <w:rsid w:val="5C921AD0"/>
    <w:rsid w:val="5CA73892"/>
    <w:rsid w:val="5CF7438B"/>
    <w:rsid w:val="5D3226E9"/>
    <w:rsid w:val="5D7D0B67"/>
    <w:rsid w:val="5DFD51DB"/>
    <w:rsid w:val="5E0D36E5"/>
    <w:rsid w:val="5E405827"/>
    <w:rsid w:val="5E7F7360"/>
    <w:rsid w:val="5E966929"/>
    <w:rsid w:val="5EA52829"/>
    <w:rsid w:val="5EB903DA"/>
    <w:rsid w:val="5F303ED3"/>
    <w:rsid w:val="5F501BDB"/>
    <w:rsid w:val="5F5E0F4F"/>
    <w:rsid w:val="5F734120"/>
    <w:rsid w:val="5FF53D41"/>
    <w:rsid w:val="60140907"/>
    <w:rsid w:val="60642278"/>
    <w:rsid w:val="60712CDB"/>
    <w:rsid w:val="607C3753"/>
    <w:rsid w:val="60C30855"/>
    <w:rsid w:val="61421EFD"/>
    <w:rsid w:val="615C5041"/>
    <w:rsid w:val="61B25AC4"/>
    <w:rsid w:val="61C736BE"/>
    <w:rsid w:val="62B71054"/>
    <w:rsid w:val="63372785"/>
    <w:rsid w:val="636A526A"/>
    <w:rsid w:val="64934878"/>
    <w:rsid w:val="64AE73D4"/>
    <w:rsid w:val="64DA1397"/>
    <w:rsid w:val="65967AC8"/>
    <w:rsid w:val="66220A77"/>
    <w:rsid w:val="664805B8"/>
    <w:rsid w:val="66907CC1"/>
    <w:rsid w:val="66F1511F"/>
    <w:rsid w:val="66FE4F14"/>
    <w:rsid w:val="67291244"/>
    <w:rsid w:val="672F1DCA"/>
    <w:rsid w:val="679A6268"/>
    <w:rsid w:val="67AB555E"/>
    <w:rsid w:val="683B0055"/>
    <w:rsid w:val="68CB171E"/>
    <w:rsid w:val="690F418B"/>
    <w:rsid w:val="699E284E"/>
    <w:rsid w:val="69D51EDB"/>
    <w:rsid w:val="69FA4CD5"/>
    <w:rsid w:val="69FB7936"/>
    <w:rsid w:val="6A154B1E"/>
    <w:rsid w:val="6A370B6C"/>
    <w:rsid w:val="6A3E6CCE"/>
    <w:rsid w:val="6A73734B"/>
    <w:rsid w:val="6A737BD5"/>
    <w:rsid w:val="6A7A2736"/>
    <w:rsid w:val="6A7B4B9C"/>
    <w:rsid w:val="6AC769D6"/>
    <w:rsid w:val="6AFF6CB8"/>
    <w:rsid w:val="6B3E23A9"/>
    <w:rsid w:val="6BE61376"/>
    <w:rsid w:val="6BF84491"/>
    <w:rsid w:val="6C2F63F5"/>
    <w:rsid w:val="6C727209"/>
    <w:rsid w:val="6C89456C"/>
    <w:rsid w:val="6CA35FF1"/>
    <w:rsid w:val="6D663271"/>
    <w:rsid w:val="6D9B5DDA"/>
    <w:rsid w:val="6E04718D"/>
    <w:rsid w:val="6F477B5B"/>
    <w:rsid w:val="6F901B66"/>
    <w:rsid w:val="6F905B85"/>
    <w:rsid w:val="6FA629D4"/>
    <w:rsid w:val="6FBF7BEE"/>
    <w:rsid w:val="6FC05247"/>
    <w:rsid w:val="6FD10552"/>
    <w:rsid w:val="6FEC35B1"/>
    <w:rsid w:val="70156E69"/>
    <w:rsid w:val="705D6B36"/>
    <w:rsid w:val="70602E31"/>
    <w:rsid w:val="70912EBC"/>
    <w:rsid w:val="70BB2EF0"/>
    <w:rsid w:val="70E43928"/>
    <w:rsid w:val="70EA694F"/>
    <w:rsid w:val="71811486"/>
    <w:rsid w:val="71A67303"/>
    <w:rsid w:val="7205242C"/>
    <w:rsid w:val="72694601"/>
    <w:rsid w:val="727069CC"/>
    <w:rsid w:val="72C33A8B"/>
    <w:rsid w:val="73414765"/>
    <w:rsid w:val="73455C21"/>
    <w:rsid w:val="737131EA"/>
    <w:rsid w:val="73CE7D60"/>
    <w:rsid w:val="73D425F7"/>
    <w:rsid w:val="74263AAC"/>
    <w:rsid w:val="74DC48C7"/>
    <w:rsid w:val="74F24B95"/>
    <w:rsid w:val="750A2023"/>
    <w:rsid w:val="761E100C"/>
    <w:rsid w:val="762338B0"/>
    <w:rsid w:val="76284C88"/>
    <w:rsid w:val="765A155A"/>
    <w:rsid w:val="7676736A"/>
    <w:rsid w:val="76933951"/>
    <w:rsid w:val="76DE38FA"/>
    <w:rsid w:val="76FA3873"/>
    <w:rsid w:val="771D661B"/>
    <w:rsid w:val="771F7714"/>
    <w:rsid w:val="77317864"/>
    <w:rsid w:val="774A2F4D"/>
    <w:rsid w:val="775D48D0"/>
    <w:rsid w:val="777E145F"/>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313650"/>
    <w:rsid w:val="7B553028"/>
    <w:rsid w:val="7B58629E"/>
    <w:rsid w:val="7B604BC4"/>
    <w:rsid w:val="7B703A65"/>
    <w:rsid w:val="7B7C74A8"/>
    <w:rsid w:val="7B8C26EA"/>
    <w:rsid w:val="7B9A3154"/>
    <w:rsid w:val="7C26369C"/>
    <w:rsid w:val="7C363671"/>
    <w:rsid w:val="7C3E2C9F"/>
    <w:rsid w:val="7C9E5A24"/>
    <w:rsid w:val="7CA17D91"/>
    <w:rsid w:val="7CAC00CB"/>
    <w:rsid w:val="7CD40FDF"/>
    <w:rsid w:val="7CDC436B"/>
    <w:rsid w:val="7D575412"/>
    <w:rsid w:val="7D62117D"/>
    <w:rsid w:val="7DA933C8"/>
    <w:rsid w:val="7DAC30FF"/>
    <w:rsid w:val="7DB275A7"/>
    <w:rsid w:val="7DB54254"/>
    <w:rsid w:val="7DC23187"/>
    <w:rsid w:val="7DE21475"/>
    <w:rsid w:val="7E3E1EF2"/>
    <w:rsid w:val="7E7745C1"/>
    <w:rsid w:val="7E8070E2"/>
    <w:rsid w:val="7E8E2FD8"/>
    <w:rsid w:val="7E951513"/>
    <w:rsid w:val="7E9B749B"/>
    <w:rsid w:val="7EA27EB5"/>
    <w:rsid w:val="7EAB435E"/>
    <w:rsid w:val="7EBD7F90"/>
    <w:rsid w:val="7EC03C7E"/>
    <w:rsid w:val="7ED001FD"/>
    <w:rsid w:val="7EEF2AA6"/>
    <w:rsid w:val="7EF74FC9"/>
    <w:rsid w:val="7F365713"/>
    <w:rsid w:val="7F3C0B3F"/>
    <w:rsid w:val="7F5969AC"/>
    <w:rsid w:val="7F670749"/>
    <w:rsid w:val="7F896AD7"/>
    <w:rsid w:val="7FA96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right="200" w:rightChars="100"/>
      <w:outlineLvl w:val="1"/>
    </w:pPr>
    <w:rPr>
      <w:sz w:val="28"/>
      <w:szCs w:val="28"/>
    </w:rPr>
  </w:style>
  <w:style w:type="paragraph" w:styleId="4">
    <w:name w:val="heading 3"/>
    <w:basedOn w:val="3"/>
    <w:next w:val="1"/>
    <w:link w:val="92"/>
    <w:qFormat/>
    <w:uiPriority w:val="0"/>
    <w:pPr>
      <w:numPr>
        <w:ilvl w:val="2"/>
      </w:numPr>
      <w:outlineLvl w:val="2"/>
    </w:pPr>
    <w:rPr>
      <w:rFonts w:eastAsia="宋体"/>
      <w:sz w:val="22"/>
    </w:rPr>
  </w:style>
  <w:style w:type="paragraph" w:styleId="5">
    <w:name w:val="heading 4"/>
    <w:basedOn w:val="4"/>
    <w:next w:val="1"/>
    <w:link w:val="82"/>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80"/>
    <w:semiHidden/>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60"/>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8">
    <w:name w:val="List 3"/>
    <w:basedOn w:val="9"/>
    <w:semiHidden/>
    <w:unhideWhenUsed/>
    <w:qFormat/>
    <w:uiPriority w:val="99"/>
    <w:pPr>
      <w:ind w:left="400"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6"/>
    <w:qFormat/>
    <w:uiPriority w:val="0"/>
    <w:pPr>
      <w:tabs>
        <w:tab w:val="left" w:pos="1418"/>
        <w:tab w:val="left" w:pos="4678"/>
        <w:tab w:val="left" w:pos="5954"/>
        <w:tab w:val="left" w:pos="7088"/>
      </w:tabs>
      <w:spacing w:after="240"/>
    </w:pPr>
    <w:rPr>
      <w:rFonts w:ascii="Arial" w:hAnsi="Arial"/>
    </w:rPr>
  </w:style>
  <w:style w:type="paragraph" w:styleId="12">
    <w:name w:val="Body Text"/>
    <w:basedOn w:val="1"/>
    <w:link w:val="99"/>
    <w:unhideWhenUsed/>
    <w:qFormat/>
    <w:uiPriority w:val="0"/>
    <w:pPr>
      <w:overflowPunct w:val="0"/>
      <w:autoSpaceDE w:val="0"/>
      <w:autoSpaceDN w:val="0"/>
      <w:adjustRightInd w:val="0"/>
      <w:spacing w:beforeLines="0" w:after="120" w:afterLines="0"/>
    </w:pPr>
    <w:rPr>
      <w:rFonts w:ascii="Arial" w:hAnsi="Arial" w:eastAsia="宋体"/>
      <w:bCs/>
      <w:color w:val="000000" w:themeColor="text1"/>
      <w:kern w:val="0"/>
      <w:lang w:val="en-GB"/>
      <w14:textFill>
        <w14:solidFill>
          <w14:schemeClr w14:val="tx1"/>
        </w14:solidFill>
      </w14:textFill>
    </w:rPr>
  </w:style>
  <w:style w:type="paragraph" w:styleId="13">
    <w:name w:val="toc 3"/>
    <w:basedOn w:val="1"/>
    <w:next w:val="1"/>
    <w:link w:val="49"/>
    <w:unhideWhenUsed/>
    <w:qFormat/>
    <w:uiPriority w:val="39"/>
    <w:pPr>
      <w:ind w:left="880" w:leftChars="400"/>
    </w:pPr>
    <w:rPr>
      <w:b/>
      <w:i/>
    </w:rPr>
  </w:style>
  <w:style w:type="paragraph" w:styleId="14">
    <w:name w:val="Balloon Text"/>
    <w:basedOn w:val="1"/>
    <w:link w:val="29"/>
    <w:semiHidden/>
    <w:unhideWhenUsed/>
    <w:qFormat/>
    <w:uiPriority w:val="99"/>
    <w:rPr>
      <w:sz w:val="18"/>
      <w:szCs w:val="18"/>
    </w:rPr>
  </w:style>
  <w:style w:type="paragraph" w:styleId="15">
    <w:name w:val="footer"/>
    <w:basedOn w:val="1"/>
    <w:link w:val="56"/>
    <w:unhideWhenUsed/>
    <w:qFormat/>
    <w:uiPriority w:val="99"/>
    <w:pPr>
      <w:tabs>
        <w:tab w:val="center" w:pos="4153"/>
        <w:tab w:val="right" w:pos="8306"/>
      </w:tabs>
      <w:snapToGrid w:val="0"/>
    </w:pPr>
    <w:rPr>
      <w:sz w:val="18"/>
      <w:szCs w:val="18"/>
    </w:rPr>
  </w:style>
  <w:style w:type="paragraph" w:styleId="16">
    <w:name w:val="header"/>
    <w:link w:val="40"/>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7">
    <w:name w:val="toc 1"/>
    <w:basedOn w:val="1"/>
    <w:next w:val="1"/>
    <w:link w:val="43"/>
    <w:unhideWhenUsed/>
    <w:qFormat/>
    <w:uiPriority w:val="39"/>
    <w:rPr>
      <w:b/>
      <w:i/>
    </w:rPr>
  </w:style>
  <w:style w:type="paragraph" w:styleId="18">
    <w:name w:val="List 5"/>
    <w:basedOn w:val="19"/>
    <w:qFormat/>
    <w:uiPriority w:val="0"/>
    <w:pPr>
      <w:ind w:left="1702"/>
    </w:pPr>
  </w:style>
  <w:style w:type="paragraph" w:styleId="19">
    <w:name w:val="List 4"/>
    <w:basedOn w:val="8"/>
    <w:semiHidden/>
    <w:unhideWhenUsed/>
    <w:qFormat/>
    <w:uiPriority w:val="99"/>
    <w:pPr>
      <w:ind w:left="600" w:leftChars="600"/>
    </w:p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link w:val="46"/>
    <w:unhideWhenUsed/>
    <w:qFormat/>
    <w:uiPriority w:val="39"/>
    <w:pPr>
      <w:snapToGrid w:val="0"/>
      <w:ind w:left="618" w:leftChars="200"/>
    </w:pPr>
    <w:rPr>
      <w:b/>
      <w:i/>
    </w:rPr>
  </w:style>
  <w:style w:type="paragraph" w:styleId="22">
    <w:name w:val="Normal (Web)"/>
    <w:basedOn w:val="1"/>
    <w:unhideWhenUsed/>
    <w:qFormat/>
    <w:uiPriority w:val="99"/>
    <w:rPr>
      <w:rFonts w:eastAsia="宋体"/>
      <w:sz w:val="24"/>
      <w:lang w:val="en-GB" w:eastAsia="en-US"/>
    </w:rPr>
  </w:style>
  <w:style w:type="table" w:styleId="24">
    <w:name w:val="Table Grid"/>
    <w:basedOn w:val="23"/>
    <w:qFormat/>
    <w:uiPriority w:val="99"/>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6">
    <w:name w:val="page number"/>
    <w:basedOn w:val="25"/>
    <w:semiHidden/>
    <w:qFormat/>
    <w:uiPriority w:val="0"/>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styleId="28">
    <w:name w:val="annotation reference"/>
    <w:basedOn w:val="25"/>
    <w:qFormat/>
    <w:uiPriority w:val="0"/>
    <w:rPr>
      <w:sz w:val="16"/>
      <w:szCs w:val="16"/>
    </w:rPr>
  </w:style>
  <w:style w:type="character" w:customStyle="1" w:styleId="29">
    <w:name w:val="批注框文本 字符"/>
    <w:basedOn w:val="25"/>
    <w:link w:val="14"/>
    <w:semiHidden/>
    <w:qFormat/>
    <w:uiPriority w:val="99"/>
    <w:rPr>
      <w:rFonts w:eastAsia="Times New Roman"/>
      <w:kern w:val="2"/>
      <w:sz w:val="18"/>
      <w:szCs w:val="18"/>
    </w:rPr>
  </w:style>
  <w:style w:type="paragraph" w:customStyle="1" w:styleId="30">
    <w:name w:val="Proposal"/>
    <w:basedOn w:val="1"/>
    <w:link w:val="65"/>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1">
    <w:name w:val="!ZTE-Proposal-2021 + 段前: 0.5 行 段后: 0.5 行"/>
    <w:basedOn w:val="1"/>
    <w:link w:val="66"/>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32">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3">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4">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5">
    <w:name w:val="sub-observation"/>
    <w:basedOn w:val="34"/>
    <w:qFormat/>
    <w:uiPriority w:val="0"/>
    <w:pPr>
      <w:numPr>
        <w:ilvl w:val="0"/>
        <w:numId w:val="6"/>
      </w:numPr>
      <w:ind w:left="0" w:firstLine="0"/>
    </w:pPr>
    <w:rPr>
      <w:rFonts w:eastAsia="宋体"/>
    </w:rPr>
  </w:style>
  <w:style w:type="paragraph" w:customStyle="1" w:styleId="36">
    <w:name w:val="3rd level proposal"/>
    <w:basedOn w:val="34"/>
    <w:qFormat/>
    <w:uiPriority w:val="0"/>
    <w:pPr>
      <w:numPr>
        <w:ilvl w:val="0"/>
        <w:numId w:val="7"/>
      </w:numPr>
      <w:ind w:left="627" w:leftChars="200" w:firstLine="0"/>
    </w:pPr>
  </w:style>
  <w:style w:type="paragraph" w:customStyle="1" w:styleId="37">
    <w:name w:val="3rd level observation"/>
    <w:basedOn w:val="35"/>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8">
    <w:name w:val="References"/>
    <w:basedOn w:val="1"/>
    <w:qFormat/>
    <w:uiPriority w:val="0"/>
    <w:pPr>
      <w:numPr>
        <w:ilvl w:val="0"/>
        <w:numId w:val="9"/>
      </w:numPr>
      <w:spacing w:after="60"/>
    </w:pPr>
    <w:rPr>
      <w:szCs w:val="16"/>
    </w:rPr>
  </w:style>
  <w:style w:type="paragraph" w:styleId="39">
    <w:name w:val="List Paragraph"/>
    <w:basedOn w:val="1"/>
    <w:link w:val="100"/>
    <w:qFormat/>
    <w:uiPriority w:val="34"/>
    <w:pPr>
      <w:spacing w:beforeLines="0"/>
      <w:ind w:left="720"/>
      <w:contextualSpacing/>
    </w:pPr>
    <w:rPr>
      <w:sz w:val="24"/>
      <w:szCs w:val="24"/>
    </w:rPr>
  </w:style>
  <w:style w:type="character" w:customStyle="1" w:styleId="40">
    <w:name w:val="页眉 字符"/>
    <w:basedOn w:val="25"/>
    <w:link w:val="16"/>
    <w:qFormat/>
    <w:uiPriority w:val="99"/>
    <w:rPr>
      <w:rFonts w:eastAsia="Times New Roman"/>
      <w:kern w:val="2"/>
      <w:sz w:val="18"/>
      <w:szCs w:val="18"/>
    </w:rPr>
  </w:style>
  <w:style w:type="paragraph" w:customStyle="1" w:styleId="41">
    <w:name w:val="ZTE-C-proposal"/>
    <w:basedOn w:val="17"/>
    <w:link w:val="44"/>
    <w:qFormat/>
    <w:uiPriority w:val="0"/>
    <w:pPr>
      <w:spacing w:before="120" w:after="120"/>
      <w:ind w:left="1104" w:hanging="1104" w:hangingChars="550"/>
    </w:pPr>
  </w:style>
  <w:style w:type="paragraph" w:customStyle="1" w:styleId="42">
    <w:name w:val="ZTE-C-subProposal"/>
    <w:basedOn w:val="21"/>
    <w:link w:val="47"/>
    <w:qFormat/>
    <w:uiPriority w:val="0"/>
    <w:pPr>
      <w:tabs>
        <w:tab w:val="left" w:pos="993"/>
        <w:tab w:val="right" w:leader="dot" w:pos="9650"/>
      </w:tabs>
      <w:spacing w:before="120" w:after="120"/>
      <w:ind w:left="708" w:leftChars="354"/>
    </w:pPr>
  </w:style>
  <w:style w:type="character" w:customStyle="1" w:styleId="43">
    <w:name w:val="TOC 1 字符"/>
    <w:basedOn w:val="25"/>
    <w:link w:val="17"/>
    <w:qFormat/>
    <w:uiPriority w:val="39"/>
    <w:rPr>
      <w:rFonts w:eastAsia="Times New Roman"/>
      <w:b/>
      <w:i/>
      <w:kern w:val="2"/>
    </w:rPr>
  </w:style>
  <w:style w:type="character" w:customStyle="1" w:styleId="44">
    <w:name w:val="ZTE-C-proposal 字符"/>
    <w:basedOn w:val="43"/>
    <w:link w:val="41"/>
    <w:qFormat/>
    <w:uiPriority w:val="0"/>
    <w:rPr>
      <w:rFonts w:eastAsia="Times New Roman"/>
      <w:color w:val="000000"/>
      <w:kern w:val="2"/>
    </w:rPr>
  </w:style>
  <w:style w:type="paragraph" w:customStyle="1" w:styleId="45">
    <w:name w:val="ZTE-C-3rd level proposal"/>
    <w:basedOn w:val="13"/>
    <w:link w:val="50"/>
    <w:qFormat/>
    <w:uiPriority w:val="0"/>
    <w:pPr>
      <w:tabs>
        <w:tab w:val="left" w:pos="1276"/>
        <w:tab w:val="right" w:leader="dot" w:pos="9650"/>
      </w:tabs>
      <w:spacing w:before="120" w:after="120"/>
      <w:ind w:left="1134" w:leftChars="567"/>
    </w:pPr>
  </w:style>
  <w:style w:type="character" w:customStyle="1" w:styleId="46">
    <w:name w:val="TOC 2 字符"/>
    <w:basedOn w:val="25"/>
    <w:link w:val="21"/>
    <w:qFormat/>
    <w:uiPriority w:val="39"/>
    <w:rPr>
      <w:rFonts w:eastAsia="Times New Roman"/>
      <w:b/>
      <w:i/>
      <w:kern w:val="2"/>
    </w:rPr>
  </w:style>
  <w:style w:type="character" w:customStyle="1" w:styleId="47">
    <w:name w:val="ZTE-C-subProposal 字符"/>
    <w:basedOn w:val="46"/>
    <w:link w:val="42"/>
    <w:qFormat/>
    <w:uiPriority w:val="0"/>
    <w:rPr>
      <w:rFonts w:eastAsia="Times New Roman"/>
      <w:kern w:val="2"/>
    </w:rPr>
  </w:style>
  <w:style w:type="paragraph" w:customStyle="1" w:styleId="48">
    <w:name w:val="ZTE-C-Observation"/>
    <w:basedOn w:val="17"/>
    <w:link w:val="52"/>
    <w:qFormat/>
    <w:uiPriority w:val="0"/>
    <w:pPr>
      <w:tabs>
        <w:tab w:val="left" w:pos="1470"/>
        <w:tab w:val="right" w:pos="9650"/>
      </w:tabs>
      <w:spacing w:before="120" w:after="120"/>
      <w:ind w:left="1273" w:hanging="1273" w:hangingChars="634"/>
    </w:pPr>
  </w:style>
  <w:style w:type="character" w:customStyle="1" w:styleId="49">
    <w:name w:val="TOC 3 字符"/>
    <w:basedOn w:val="25"/>
    <w:link w:val="13"/>
    <w:qFormat/>
    <w:uiPriority w:val="39"/>
    <w:rPr>
      <w:rFonts w:eastAsia="Times New Roman"/>
      <w:b/>
      <w:i/>
      <w:kern w:val="2"/>
    </w:rPr>
  </w:style>
  <w:style w:type="character" w:customStyle="1" w:styleId="50">
    <w:name w:val="ZTE-C-3rd level proposal 字符"/>
    <w:basedOn w:val="49"/>
    <w:link w:val="45"/>
    <w:qFormat/>
    <w:uiPriority w:val="0"/>
    <w:rPr>
      <w:rFonts w:eastAsia="Times New Roman"/>
      <w:kern w:val="2"/>
    </w:rPr>
  </w:style>
  <w:style w:type="paragraph" w:customStyle="1" w:styleId="51">
    <w:name w:val="ZTE-C-sub-Observation"/>
    <w:basedOn w:val="21"/>
    <w:link w:val="54"/>
    <w:qFormat/>
    <w:uiPriority w:val="0"/>
    <w:pPr>
      <w:tabs>
        <w:tab w:val="left" w:pos="993"/>
        <w:tab w:val="right" w:pos="9650"/>
      </w:tabs>
      <w:spacing w:before="120" w:after="120"/>
      <w:ind w:left="850" w:leftChars="425"/>
    </w:pPr>
  </w:style>
  <w:style w:type="character" w:customStyle="1" w:styleId="52">
    <w:name w:val="ZTE-C-Observation 字符"/>
    <w:basedOn w:val="43"/>
    <w:link w:val="48"/>
    <w:qFormat/>
    <w:uiPriority w:val="0"/>
    <w:rPr>
      <w:rFonts w:eastAsia="Times New Roman"/>
      <w:kern w:val="2"/>
    </w:rPr>
  </w:style>
  <w:style w:type="paragraph" w:customStyle="1" w:styleId="53">
    <w:name w:val="ZTE-C-3rd level Observation"/>
    <w:basedOn w:val="13"/>
    <w:link w:val="55"/>
    <w:qFormat/>
    <w:uiPriority w:val="0"/>
    <w:pPr>
      <w:tabs>
        <w:tab w:val="left" w:pos="1260"/>
        <w:tab w:val="right" w:pos="9650"/>
      </w:tabs>
      <w:spacing w:before="120" w:after="120"/>
      <w:ind w:left="1134" w:leftChars="567"/>
    </w:pPr>
  </w:style>
  <w:style w:type="character" w:customStyle="1" w:styleId="54">
    <w:name w:val="ZTE-C-sub-Observation 字符"/>
    <w:basedOn w:val="46"/>
    <w:link w:val="51"/>
    <w:qFormat/>
    <w:uiPriority w:val="0"/>
    <w:rPr>
      <w:rFonts w:eastAsia="Times New Roman"/>
      <w:kern w:val="2"/>
    </w:rPr>
  </w:style>
  <w:style w:type="character" w:customStyle="1" w:styleId="55">
    <w:name w:val="ZTE-C-3rd level Observation 字符"/>
    <w:basedOn w:val="49"/>
    <w:link w:val="53"/>
    <w:qFormat/>
    <w:uiPriority w:val="0"/>
    <w:rPr>
      <w:rFonts w:eastAsia="Times New Roman"/>
      <w:kern w:val="2"/>
    </w:rPr>
  </w:style>
  <w:style w:type="character" w:customStyle="1" w:styleId="56">
    <w:name w:val="页脚 字符"/>
    <w:basedOn w:val="25"/>
    <w:link w:val="15"/>
    <w:qFormat/>
    <w:uiPriority w:val="99"/>
    <w:rPr>
      <w:rFonts w:eastAsia="Times New Roman"/>
      <w:kern w:val="2"/>
      <w:sz w:val="18"/>
      <w:szCs w:val="18"/>
    </w:rPr>
  </w:style>
  <w:style w:type="paragraph" w:customStyle="1" w:styleId="57">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8">
    <w:name w:val="Agreement"/>
    <w:basedOn w:val="1"/>
    <w:next w:val="59"/>
    <w:qFormat/>
    <w:uiPriority w:val="99"/>
    <w:pPr>
      <w:numPr>
        <w:ilvl w:val="0"/>
        <w:numId w:val="11"/>
      </w:numPr>
      <w:tabs>
        <w:tab w:val="left" w:pos="1619"/>
        <w:tab w:val="clear" w:pos="364"/>
      </w:tabs>
      <w:spacing w:before="60"/>
    </w:pPr>
    <w:rPr>
      <w:b/>
    </w:rPr>
  </w:style>
  <w:style w:type="paragraph" w:customStyle="1" w:styleId="59">
    <w:name w:val="Doc-text2"/>
    <w:basedOn w:val="1"/>
    <w:qFormat/>
    <w:uiPriority w:val="0"/>
    <w:pPr>
      <w:tabs>
        <w:tab w:val="left" w:pos="1622"/>
      </w:tabs>
      <w:ind w:left="1622" w:hanging="363"/>
    </w:pPr>
  </w:style>
  <w:style w:type="character" w:customStyle="1" w:styleId="60">
    <w:name w:val="标题 6 字符"/>
    <w:basedOn w:val="25"/>
    <w:link w:val="7"/>
    <w:semiHidden/>
    <w:qFormat/>
    <w:uiPriority w:val="99"/>
    <w:rPr>
      <w:rFonts w:asciiTheme="majorHAnsi" w:hAnsiTheme="majorHAnsi" w:eastAsiaTheme="majorEastAsia" w:cstheme="majorBidi"/>
      <w:b/>
      <w:bCs/>
      <w:kern w:val="2"/>
      <w:sz w:val="24"/>
      <w:szCs w:val="24"/>
    </w:rPr>
  </w:style>
  <w:style w:type="paragraph" w:customStyle="1" w:styleId="61">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2">
    <w:name w:val="网格型浅色1"/>
    <w:basedOn w:val="23"/>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3">
    <w:name w:val="列表段落1"/>
    <w:basedOn w:val="1"/>
    <w:qFormat/>
    <w:uiPriority w:val="0"/>
    <w:pPr>
      <w:spacing w:beforeLines="0"/>
      <w:ind w:left="720"/>
      <w:contextualSpacing/>
    </w:pPr>
    <w:rPr>
      <w:rFonts w:eastAsia="宋体"/>
      <w:sz w:val="24"/>
      <w:szCs w:val="24"/>
    </w:rPr>
  </w:style>
  <w:style w:type="paragraph" w:customStyle="1" w:styleId="64">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5">
    <w:name w:val="Proposal 字符"/>
    <w:basedOn w:val="25"/>
    <w:link w:val="30"/>
    <w:qFormat/>
    <w:uiPriority w:val="0"/>
    <w:rPr>
      <w:rFonts w:ascii="Times New Roman" w:hAnsi="Times New Roman" w:eastAsia="Times New Roman" w:cs="Times New Roman"/>
      <w:b/>
      <w:bCs/>
      <w:i/>
      <w:iCs/>
      <w:kern w:val="2"/>
    </w:rPr>
  </w:style>
  <w:style w:type="character" w:customStyle="1" w:styleId="66">
    <w:name w:val="!ZTE-Proposal-2021 + 段前: 0.5 行 段后: 0.5 行 Char"/>
    <w:link w:val="31"/>
    <w:qFormat/>
    <w:uiPriority w:val="0"/>
    <w:rPr>
      <w:rFonts w:cs="宋体" w:eastAsiaTheme="minorEastAsia"/>
      <w:b/>
      <w:bCs/>
      <w:i/>
      <w:iCs/>
      <w:lang w:val="en-GB"/>
    </w:r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9">
    <w:name w:val="B3 Char"/>
    <w:basedOn w:val="25"/>
    <w:link w:val="70"/>
    <w:qFormat/>
    <w:uiPriority w:val="0"/>
    <w:rPr>
      <w:rFonts w:hint="default" w:ascii="Times New Roman" w:hAnsi="Times New Roman" w:eastAsia="Times New Roman" w:cs="Times New Roman"/>
    </w:rPr>
  </w:style>
  <w:style w:type="paragraph" w:customStyle="1" w:styleId="70">
    <w:name w:val="B3"/>
    <w:basedOn w:val="8"/>
    <w:link w:val="69"/>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1">
    <w:name w:val="B4 Char"/>
    <w:basedOn w:val="25"/>
    <w:link w:val="72"/>
    <w:qFormat/>
    <w:uiPriority w:val="0"/>
    <w:rPr>
      <w:rFonts w:hint="default" w:ascii="Times New Roman" w:hAnsi="Times New Roman" w:eastAsia="Times New Roman" w:cs="Times New Roman"/>
    </w:rPr>
  </w:style>
  <w:style w:type="paragraph" w:customStyle="1" w:styleId="72">
    <w:name w:val="B4"/>
    <w:basedOn w:val="19"/>
    <w:link w:val="71"/>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3">
    <w:name w:val="B2"/>
    <w:basedOn w:val="9"/>
    <w:link w:val="74"/>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4">
    <w:name w:val="B2 Char"/>
    <w:basedOn w:val="25"/>
    <w:link w:val="73"/>
    <w:qFormat/>
    <w:uiPriority w:val="0"/>
    <w:rPr>
      <w:rFonts w:hint="default" w:ascii="Times New Roman" w:hAnsi="Times New Roman" w:eastAsia="Times New Roman" w:cs="Times New Roman"/>
    </w:rPr>
  </w:style>
  <w:style w:type="paragraph" w:customStyle="1" w:styleId="75">
    <w:name w:val="B5"/>
    <w:basedOn w:val="18"/>
    <w:qFormat/>
    <w:uiPriority w:val="0"/>
    <w:pPr>
      <w:ind w:hanging="284"/>
    </w:pPr>
  </w:style>
  <w:style w:type="character" w:customStyle="1" w:styleId="76">
    <w:name w:val="批注文字 字符"/>
    <w:basedOn w:val="25"/>
    <w:link w:val="11"/>
    <w:qFormat/>
    <w:uiPriority w:val="0"/>
    <w:rPr>
      <w:rFonts w:hint="default" w:ascii="Times New Roman" w:hAnsi="Times New Roman" w:eastAsia="Times New Roman" w:cs="Times New Roman"/>
      <w:lang w:val="en-US"/>
    </w:rPr>
  </w:style>
  <w:style w:type="character" w:customStyle="1" w:styleId="77">
    <w:name w:val="B5 Char"/>
    <w:basedOn w:val="25"/>
    <w:qFormat/>
    <w:uiPriority w:val="0"/>
    <w:rPr>
      <w:rFonts w:hint="default" w:ascii="Times New Roman" w:hAnsi="Times New Roman" w:eastAsia="Times New Roman" w:cs="Times New Roman"/>
      <w:lang w:val="en-US"/>
    </w:rPr>
  </w:style>
  <w:style w:type="paragraph" w:customStyle="1" w:styleId="78">
    <w:name w:val="B1"/>
    <w:basedOn w:val="10"/>
    <w:link w:val="81"/>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9">
    <w:name w:val="B3 Char2"/>
    <w:basedOn w:val="25"/>
    <w:qFormat/>
    <w:uiPriority w:val="0"/>
    <w:rPr>
      <w:rFonts w:hint="default" w:ascii="Times New Roman" w:hAnsi="Times New Roman" w:eastAsia="Times New Roman" w:cs="Times New Roman"/>
      <w:lang w:val="en-US"/>
    </w:rPr>
  </w:style>
  <w:style w:type="character" w:customStyle="1" w:styleId="80">
    <w:name w:val="标题 5 字符"/>
    <w:basedOn w:val="25"/>
    <w:link w:val="6"/>
    <w:qFormat/>
    <w:uiPriority w:val="0"/>
    <w:rPr>
      <w:rFonts w:hint="default" w:ascii="Arial" w:hAnsi="Arial" w:eastAsia="Times New Roman" w:cs="Arial"/>
      <w:sz w:val="22"/>
      <w:lang w:val="en-US"/>
    </w:rPr>
  </w:style>
  <w:style w:type="character" w:customStyle="1" w:styleId="81">
    <w:name w:val="B1 Char1"/>
    <w:basedOn w:val="25"/>
    <w:link w:val="78"/>
    <w:qFormat/>
    <w:uiPriority w:val="0"/>
    <w:rPr>
      <w:rFonts w:hint="default" w:ascii="Times New Roman" w:hAnsi="Times New Roman" w:eastAsia="Times New Roman" w:cs="Times New Roman"/>
      <w:lang w:val="en-US"/>
    </w:rPr>
  </w:style>
  <w:style w:type="character" w:customStyle="1" w:styleId="82">
    <w:name w:val="标题 4 字符"/>
    <w:basedOn w:val="25"/>
    <w:link w:val="5"/>
    <w:qFormat/>
    <w:uiPriority w:val="0"/>
    <w:rPr>
      <w:rFonts w:ascii="Calibri Light" w:hAnsi="Calibri Light" w:eastAsia="Yu Gothic Light" w:cs="Times New Roman"/>
      <w:b/>
      <w:bCs/>
      <w:sz w:val="28"/>
      <w:szCs w:val="28"/>
      <w:lang w:val="en-US"/>
    </w:rPr>
  </w:style>
  <w:style w:type="paragraph" w:customStyle="1" w:styleId="83">
    <w:name w:val="TAH"/>
    <w:basedOn w:val="84"/>
    <w:qFormat/>
    <w:uiPriority w:val="0"/>
    <w:rPr>
      <w:b/>
    </w:rPr>
  </w:style>
  <w:style w:type="paragraph" w:customStyle="1" w:styleId="84">
    <w:name w:val="TAC"/>
    <w:basedOn w:val="85"/>
    <w:qFormat/>
    <w:uiPriority w:val="0"/>
    <w:pPr>
      <w:jc w:val="center"/>
    </w:pPr>
  </w:style>
  <w:style w:type="paragraph" w:customStyle="1" w:styleId="85">
    <w:name w:val="TAL"/>
    <w:basedOn w:val="1"/>
    <w:qFormat/>
    <w:uiPriority w:val="0"/>
    <w:pPr>
      <w:keepNext/>
      <w:keepLines/>
    </w:pPr>
    <w:rPr>
      <w:rFonts w:ascii="Arial" w:hAnsi="Arial"/>
      <w:sz w:val="18"/>
    </w:rPr>
  </w:style>
  <w:style w:type="paragraph" w:customStyle="1" w:styleId="86">
    <w:name w:val="TAR"/>
    <w:basedOn w:val="85"/>
    <w:qFormat/>
    <w:uiPriority w:val="0"/>
    <w:pPr>
      <w:jc w:val="right"/>
    </w:pPr>
  </w:style>
  <w:style w:type="paragraph" w:customStyle="1" w:styleId="8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8">
    <w:name w:val="NO"/>
    <w:basedOn w:val="1"/>
    <w:qFormat/>
    <w:uiPriority w:val="0"/>
    <w:pPr>
      <w:keepLines/>
      <w:ind w:left="1135" w:hanging="851"/>
    </w:pPr>
  </w:style>
  <w:style w:type="paragraph" w:customStyle="1" w:styleId="89">
    <w:name w:val="B6"/>
    <w:basedOn w:val="75"/>
    <w:qFormat/>
    <w:uiPriority w:val="0"/>
    <w:pPr>
      <w:ind w:left="1985"/>
    </w:pPr>
  </w:style>
  <w:style w:type="paragraph" w:customStyle="1" w:styleId="90">
    <w:name w:val="B7"/>
    <w:basedOn w:val="89"/>
    <w:qFormat/>
    <w:uiPriority w:val="0"/>
    <w:pPr>
      <w:ind w:left="2269"/>
    </w:pPr>
  </w:style>
  <w:style w:type="character" w:customStyle="1" w:styleId="91">
    <w:name w:val="标题 4 字符1"/>
    <w:basedOn w:val="25"/>
    <w:qFormat/>
    <w:uiPriority w:val="0"/>
    <w:rPr>
      <w:rFonts w:hint="default" w:ascii="Arial" w:hAnsi="Arial" w:eastAsia="Times New Roman" w:cs="Arial"/>
      <w:sz w:val="24"/>
      <w:lang w:val="en-US"/>
    </w:rPr>
  </w:style>
  <w:style w:type="character" w:customStyle="1" w:styleId="92">
    <w:name w:val="标题 3 字符"/>
    <w:basedOn w:val="25"/>
    <w:link w:val="4"/>
    <w:qFormat/>
    <w:uiPriority w:val="0"/>
    <w:rPr>
      <w:rFonts w:hint="default" w:ascii="Times New Roman" w:hAnsi="Times New Roman" w:eastAsia="Times New Roman" w:cs="Times New Roman"/>
      <w:b/>
      <w:bCs/>
      <w:sz w:val="32"/>
      <w:szCs w:val="32"/>
      <w:lang w:val="en-US"/>
    </w:rPr>
  </w:style>
  <w:style w:type="character" w:customStyle="1" w:styleId="93">
    <w:name w:val="TAL Car"/>
    <w:basedOn w:val="25"/>
    <w:qFormat/>
    <w:uiPriority w:val="0"/>
    <w:rPr>
      <w:rFonts w:hint="default" w:ascii="Arial" w:hAnsi="Arial" w:eastAsia="Times New Roman" w:cs="Arial"/>
      <w:sz w:val="18"/>
      <w:lang w:val="en-US"/>
    </w:rPr>
  </w:style>
  <w:style w:type="character" w:customStyle="1" w:styleId="94">
    <w:name w:val="PL Char"/>
    <w:basedOn w:val="25"/>
    <w:qFormat/>
    <w:uiPriority w:val="0"/>
    <w:rPr>
      <w:rFonts w:ascii="Courier New" w:hAnsi="Courier New" w:eastAsia="Times New Roman" w:cs="Courier New"/>
      <w:sz w:val="16"/>
      <w:shd w:val="clear" w:color="auto" w:fill="E6E6E6"/>
      <w:lang w:val="en-US" w:eastAsia="en-US"/>
    </w:rPr>
  </w:style>
  <w:style w:type="character" w:customStyle="1" w:styleId="95">
    <w:name w:val="标题 4 字符2"/>
    <w:basedOn w:val="25"/>
    <w:qFormat/>
    <w:uiPriority w:val="0"/>
    <w:rPr>
      <w:rFonts w:hint="default" w:ascii="Arial" w:hAnsi="Arial" w:eastAsia="Times New Roman" w:cs="Arial"/>
      <w:sz w:val="24"/>
      <w:lang w:val="en-US"/>
    </w:rPr>
  </w:style>
  <w:style w:type="character" w:customStyle="1" w:styleId="96">
    <w:name w:val="TAH Car"/>
    <w:basedOn w:val="25"/>
    <w:qFormat/>
    <w:uiPriority w:val="0"/>
    <w:rPr>
      <w:rFonts w:hint="default" w:ascii="Arial" w:hAnsi="Arial" w:eastAsia="Times New Roman" w:cs="Arial"/>
      <w:b/>
      <w:sz w:val="18"/>
      <w:lang w:val="en-US"/>
    </w:rPr>
  </w:style>
  <w:style w:type="character" w:customStyle="1" w:styleId="97">
    <w:name w:val="TH Char"/>
    <w:basedOn w:val="25"/>
    <w:qFormat/>
    <w:uiPriority w:val="0"/>
    <w:rPr>
      <w:rFonts w:hint="default" w:ascii="Arial" w:hAnsi="Arial" w:eastAsia="Times New Roman" w:cs="Arial"/>
      <w:b/>
      <w:lang w:val="en-US"/>
    </w:rPr>
  </w:style>
  <w:style w:type="paragraph" w:customStyle="1" w:styleId="98">
    <w:name w:val="TF"/>
    <w:basedOn w:val="67"/>
    <w:qFormat/>
    <w:uiPriority w:val="0"/>
    <w:pPr>
      <w:keepNext w:val="0"/>
      <w:spacing w:before="0" w:after="240"/>
    </w:pPr>
  </w:style>
  <w:style w:type="character" w:customStyle="1" w:styleId="99">
    <w:name w:val="正文文本 字符"/>
    <w:basedOn w:val="25"/>
    <w:link w:val="12"/>
    <w:qFormat/>
    <w:uiPriority w:val="0"/>
    <w:rPr>
      <w:rFonts w:ascii="Arial" w:hAnsi="Arial" w:eastAsia="宋体"/>
      <w:bCs/>
      <w:color w:val="000000" w:themeColor="text1"/>
      <w:lang w:val="en-GB"/>
      <w14:textFill>
        <w14:solidFill>
          <w14:schemeClr w14:val="tx1"/>
        </w14:solidFill>
      </w14:textFill>
    </w:rPr>
  </w:style>
  <w:style w:type="character" w:customStyle="1" w:styleId="100">
    <w:name w:val="列表段落 字符"/>
    <w:link w:val="39"/>
    <w:qFormat/>
    <w:locked/>
    <w:uiPriority w:val="34"/>
    <w:rPr>
      <w:rFonts w:eastAsia="Times New Roman"/>
      <w:kern w:val="2"/>
      <w:sz w:val="24"/>
      <w:szCs w:val="24"/>
    </w:rPr>
  </w:style>
  <w:style w:type="character" w:customStyle="1" w:styleId="101">
    <w:name w:val="B1 (文字)"/>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92F61-04B1-46F7-B1B6-85BC0BF4D33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351</Words>
  <Characters>2006</Characters>
  <Lines>16</Lines>
  <Paragraphs>4</Paragraphs>
  <TotalTime>10</TotalTime>
  <ScaleCrop>false</ScaleCrop>
  <LinksUpToDate>false</LinksUpToDate>
  <CharactersWithSpaces>2353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2024-08-06T11:35:48Z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43126A044FDB4140B8FC5231AD39FDDC</vt:lpwstr>
  </property>
</Properties>
</file>